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74" w:rsidRPr="00501D86" w:rsidRDefault="00866C74" w:rsidP="00866C7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bookmarkStart w:id="0" w:name="_GoBack"/>
      <w:bookmarkEnd w:id="0"/>
      <w:r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 xml:space="preserve">Приложение № 5 към </w:t>
      </w:r>
      <w:hyperlink w:history="1">
        <w:r w:rsidRPr="00501D86">
          <w:rPr>
            <w:rFonts w:ascii="Times New Roman" w:eastAsia="Times New Roman" w:hAnsi="Times New Roman" w:cs="Times New Roman"/>
            <w:b/>
            <w:bCs/>
            <w:color w:val="A52A2A"/>
            <w:sz w:val="18"/>
            <w:szCs w:val="18"/>
            <w:u w:val="single"/>
            <w:lang w:val="en"/>
          </w:rPr>
          <w:t xml:space="preserve">чл. </w:t>
        </w:r>
        <w:proofErr w:type="gramStart"/>
        <w:r w:rsidRPr="00501D86">
          <w:rPr>
            <w:rFonts w:ascii="Times New Roman" w:eastAsia="Times New Roman" w:hAnsi="Times New Roman" w:cs="Times New Roman"/>
            <w:b/>
            <w:bCs/>
            <w:color w:val="A52A2A"/>
            <w:sz w:val="18"/>
            <w:szCs w:val="18"/>
            <w:u w:val="single"/>
            <w:lang w:val="en"/>
          </w:rPr>
          <w:t>4, ал.</w:t>
        </w:r>
        <w:proofErr w:type="gramEnd"/>
        <w:r w:rsidRPr="00501D86">
          <w:rPr>
            <w:rFonts w:ascii="Times New Roman" w:eastAsia="Times New Roman" w:hAnsi="Times New Roman" w:cs="Times New Roman"/>
            <w:b/>
            <w:bCs/>
            <w:color w:val="A52A2A"/>
            <w:sz w:val="18"/>
            <w:szCs w:val="18"/>
            <w:u w:val="single"/>
            <w:lang w:val="en"/>
          </w:rPr>
          <w:t xml:space="preserve"> 1</w:t>
        </w:r>
      </w:hyperlink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 xml:space="preserve"> </w:t>
      </w:r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>(</w:t>
      </w:r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 xml:space="preserve">ДВ, бр. 67 от 2019 </w:t>
      </w:r>
      <w:proofErr w:type="gramStart"/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>г.,</w:t>
      </w:r>
      <w:proofErr w:type="gramEnd"/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 xml:space="preserve"> в сила от 28.08.2019 г.)</w:t>
      </w:r>
    </w:p>
    <w:p w:rsidR="00866C74" w:rsidRPr="00501D86" w:rsidRDefault="00866C74" w:rsidP="00866C7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tbl>
      <w:tblPr>
        <w:tblW w:w="11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</w:tblGrid>
      <w:tr w:rsidR="00866C74" w:rsidRPr="001373CF" w:rsidTr="00B65761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C74" w:rsidRPr="001373CF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ДО</w:t>
            </w:r>
          </w:p>
          <w:p w:rsidR="00866C74" w:rsidRPr="001373CF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lang w:val="bg-BG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ДИРЕКТОРА НА РИОСВ</w:t>
            </w:r>
            <w:r w:rsidR="001A7FA0"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</w:t>
            </w:r>
            <w:r w:rsidR="00D62206"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- ПЛОВДИВ</w:t>
            </w:r>
          </w:p>
          <w:p w:rsidR="001A7FA0" w:rsidRPr="001373CF" w:rsidRDefault="001A7FA0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lang w:val="bg-BG"/>
              </w:rPr>
            </w:pPr>
          </w:p>
          <w:p w:rsidR="00866C74" w:rsidRPr="001373CF" w:rsidRDefault="00866C74" w:rsidP="00501D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УВЕДОМЛЕНИЕ</w:t>
            </w:r>
          </w:p>
          <w:p w:rsidR="00866C74" w:rsidRPr="001373CF" w:rsidRDefault="00866C74" w:rsidP="00501D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lang w:val="bg-BG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за инвестиционно предложение</w:t>
            </w:r>
          </w:p>
          <w:p w:rsidR="001A7FA0" w:rsidRPr="001373CF" w:rsidRDefault="001A7FA0" w:rsidP="00501D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lang w:val="bg-BG"/>
              </w:rPr>
            </w:pPr>
          </w:p>
          <w:p w:rsidR="001A7FA0" w:rsidRPr="001373CF" w:rsidRDefault="00D62206" w:rsidP="0019616D">
            <w:pPr>
              <w:spacing w:after="0" w:line="240" w:lineRule="auto"/>
              <w:textAlignment w:val="top"/>
              <w:rPr>
                <w:b/>
                <w:sz w:val="24"/>
                <w:lang w:val="en-GB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от</w:t>
            </w: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„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РЕВЕНТОН</w:t>
            </w:r>
            <w:r w:rsidRPr="001373CF">
              <w:rPr>
                <w:rFonts w:ascii="Times New Roman" w:eastAsia="Arial" w:hAnsi="Times New Roman" w:cs="Times New Roman"/>
                <w:b/>
                <w:smallCaps/>
                <w:color w:val="000000"/>
                <w:sz w:val="24"/>
                <w:szCs w:val="24"/>
              </w:rPr>
              <w:t>”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ЕООД, </w:t>
            </w:r>
            <w:r w:rsidRPr="001373C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ЕИК: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FA0" w:rsidRPr="001373CF" w:rsidRDefault="001A7FA0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lang w:val="bg-BG"/>
              </w:rPr>
            </w:pPr>
          </w:p>
          <w:p w:rsidR="00866C74" w:rsidRPr="001373CF" w:rsidRDefault="008C0F05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lang w:val="bg-BG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lang w:val="bg-BG"/>
              </w:rPr>
              <w:t>УВАЖАЕМА</w:t>
            </w:r>
            <w:r w:rsidR="001A7FA0" w:rsidRPr="001373CF">
              <w:rPr>
                <w:rFonts w:ascii="Times New Roman" w:eastAsia="Times New Roman" w:hAnsi="Times New Roman" w:cs="Times New Roman"/>
                <w:b/>
                <w:color w:val="333333"/>
                <w:lang w:val="bg-BG"/>
              </w:rPr>
              <w:t xml:space="preserve"> </w:t>
            </w:r>
            <w:r w:rsidR="00866C74" w:rsidRPr="001373CF">
              <w:rPr>
                <w:rFonts w:ascii="Times New Roman" w:eastAsia="Times New Roman" w:hAnsi="Times New Roman" w:cs="Times New Roman"/>
                <w:b/>
                <w:color w:val="333333"/>
                <w:lang w:val="bg-BG"/>
              </w:rPr>
              <w:t xml:space="preserve">Г-ЖО </w:t>
            </w:r>
            <w:r w:rsidR="00866C74"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ДИРЕКТОР,</w:t>
            </w:r>
          </w:p>
          <w:p w:rsidR="001A7FA0" w:rsidRPr="001373CF" w:rsidRDefault="001A7FA0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lang w:val="bg-BG"/>
              </w:rPr>
            </w:pP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lang w:val="bg-BG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Уведомяваме Ви, че </w:t>
            </w:r>
            <w:r w:rsidR="00FB23CC"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„</w:t>
            </w:r>
            <w:r w:rsidR="00FB23CC"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РЕВЕНТОН</w:t>
            </w:r>
            <w:r w:rsidR="00FB23CC" w:rsidRPr="001373CF">
              <w:rPr>
                <w:rFonts w:ascii="Times New Roman" w:eastAsia="Arial" w:hAnsi="Times New Roman" w:cs="Times New Roman"/>
                <w:b/>
                <w:smallCaps/>
                <w:color w:val="000000"/>
                <w:sz w:val="24"/>
                <w:szCs w:val="24"/>
              </w:rPr>
              <w:t>”</w:t>
            </w:r>
            <w:r w:rsidR="00FB23CC"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ЕООД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има следното инвестиционно предложение:</w:t>
            </w:r>
          </w:p>
          <w:p w:rsidR="00FB23CC" w:rsidRPr="001373CF" w:rsidRDefault="00FC7F6B" w:rsidP="00FB23C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 xml:space="preserve">   </w:t>
            </w:r>
            <w:r w:rsidR="00FB23CC"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„</w:t>
            </w:r>
            <w:r w:rsidR="00FB23CC"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РЕВЕНТОН</w:t>
            </w:r>
            <w:r w:rsidR="00FB23CC" w:rsidRPr="001373CF">
              <w:rPr>
                <w:rFonts w:ascii="Times New Roman" w:eastAsia="Arial" w:hAnsi="Times New Roman" w:cs="Times New Roman"/>
                <w:b/>
                <w:smallCaps/>
                <w:color w:val="000000"/>
                <w:sz w:val="24"/>
                <w:szCs w:val="24"/>
              </w:rPr>
              <w:t>”</w:t>
            </w:r>
            <w:r w:rsidR="00FB23CC"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ЕООД</w:t>
            </w:r>
            <w:r w:rsidR="00FB23CC"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има </w:t>
            </w:r>
            <w:r w:rsidR="00FB23CC"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инвестиционно</w:t>
            </w:r>
            <w:r w:rsidR="00FB23CC"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 xml:space="preserve"> намерение да извършва дейности с </w:t>
            </w:r>
          </w:p>
          <w:p w:rsidR="00FB23CC" w:rsidRPr="001373CF" w:rsidRDefault="00FB23CC" w:rsidP="00FB23C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отпадъци. Да събира( изкупува ), съхранява и третира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керамичен монолит ( в прахообразна </w:t>
            </w:r>
          </w:p>
          <w:p w:rsidR="00FB23CC" w:rsidRPr="001373CF" w:rsidRDefault="00FB23CC" w:rsidP="00FB23CC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gramEnd"/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и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отработени автомобилни катализатори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 За целта Дружеството ще 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 xml:space="preserve">згради </w:t>
            </w:r>
          </w:p>
          <w:p w:rsidR="00FB23CC" w:rsidRPr="001373CF" w:rsidRDefault="00FB23CC" w:rsidP="00FB23CC">
            <w:pPr>
              <w:spacing w:after="0" w:line="240" w:lineRule="auto"/>
              <w:jc w:val="both"/>
              <w:textAlignment w:val="top"/>
              <w:rPr>
                <w:rFonts w:ascii="Times New Roman" w:eastAsia="SimSun" w:hAnsi="Times New Roman" w:cs="Times New Roman"/>
                <w:b/>
                <w:sz w:val="24"/>
                <w:szCs w:val="24"/>
                <w:lang w:val="zh-CN"/>
              </w:rPr>
            </w:pP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площадка  с обществе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 обслужваща дейност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 xml:space="preserve"> за</w:t>
            </w:r>
            <w:r w:rsidRPr="001373CF">
              <w:rPr>
                <w:rFonts w:ascii="Times New Roman" w:eastAsia="SimSun" w:hAnsi="Times New Roman" w:cs="Times New Roman"/>
                <w:b/>
                <w:sz w:val="24"/>
                <w:szCs w:val="24"/>
                <w:lang w:val="zh-CN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 xml:space="preserve">събиране, съхраняване и </w:t>
            </w:r>
          </w:p>
          <w:p w:rsidR="00FB23CC" w:rsidRPr="001373CF" w:rsidRDefault="00FB23CC" w:rsidP="00FB23C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третиране на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неопасни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 xml:space="preserve"> отпадъци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подготовка преди оползотворяване 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на отпадъци</w:t>
            </w:r>
          </w:p>
          <w:p w:rsidR="00FB23CC" w:rsidRPr="001373CF" w:rsidRDefault="00FB23CC" w:rsidP="00FB23C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-неопасни отработени автомобилни катализатори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и и 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отпадък-неопасен 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керамичен монолит</w:t>
            </w:r>
          </w:p>
          <w:p w:rsidR="00FB23CC" w:rsidRPr="001373CF" w:rsidRDefault="00FB23CC" w:rsidP="00FB23C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 в</w:t>
            </w:r>
            <w:proofErr w:type="gramEnd"/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прахообразна форма)</w:t>
            </w:r>
            <w:r w:rsidR="009B7347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.</w:t>
            </w:r>
            <w:r w:rsidR="009B7347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зкупувайки 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отпадъците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 търговци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и/или физически лица.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23CC" w:rsidRPr="001373CF" w:rsidRDefault="00FB23CC" w:rsidP="00FB23C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Дейността  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включва операции по механично третиране: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сортиране, рязане-разделяне на</w:t>
            </w:r>
          </w:p>
          <w:p w:rsidR="00FB23CC" w:rsidRPr="001373CF" w:rsidRDefault="00FB23CC" w:rsidP="00FB23C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метала от керамичното тяло 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и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смилане</w:t>
            </w:r>
            <w:r w:rsidR="009B7347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хомогенизиране на получените отпадъци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23CC" w:rsidRPr="001373CF" w:rsidRDefault="00FB23CC" w:rsidP="00FB23C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предварителното третиране на отработени автомобилни катализатори</w:t>
            </w:r>
            <w:r w:rsidR="009B7347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="00F335F0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 код </w:t>
            </w:r>
            <w:r w:rsidR="00F335F0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16 08 01</w:t>
            </w:r>
            <w:r w:rsidR="009B7347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F335F0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и с код </w:t>
            </w:r>
            <w:r w:rsidR="00F335F0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16 08 0</w:t>
            </w:r>
            <w:r w:rsidR="009B7347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:rsidR="00FB23CC" w:rsidRPr="001373CF" w:rsidRDefault="0031483D" w:rsidP="00FB23C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Също така</w:t>
            </w:r>
            <w:r w:rsidR="009B7347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дейността </w:t>
            </w:r>
            <w:r w:rsidR="00FB23CC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>включва операции по механично третиране:</w:t>
            </w:r>
            <w:r w:rsidR="00FB23CC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хомогенизиране </w:t>
            </w:r>
            <w:r w:rsidR="00FB23CC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на </w:t>
            </w:r>
            <w:r w:rsidR="00FB23CC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керамичн</w:t>
            </w:r>
            <w:r w:rsidR="00FB23CC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ия</w:t>
            </w:r>
            <w:r w:rsidR="00FB23CC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A6E5F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монолит (</w:t>
            </w:r>
            <w:r w:rsidR="00FB23CC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прахообразна форма)</w:t>
            </w:r>
            <w:r w:rsidR="009B7347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,</w:t>
            </w:r>
            <w:r w:rsidR="00FB23CC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="00F6607E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отпадък с код 19 12 12</w:t>
            </w:r>
            <w:r w:rsidR="00FB23CC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- </w:t>
            </w:r>
            <w:r w:rsidR="00F6607E" w:rsidRPr="001373C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shd w:val="clear" w:color="auto" w:fill="000000"/>
              </w:rPr>
              <w:t>други отпадъци (включително смеси от материали) от механично третиране на отпадъци, различни от упоменатите в 19 12 11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</w:t>
            </w:r>
          </w:p>
          <w:p w:rsidR="001A7FA0" w:rsidRPr="001373CF" w:rsidRDefault="001A7FA0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u w:val="single"/>
                <w:lang w:val="bg-BG"/>
              </w:rPr>
            </w:pP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Характеристика на инвестиционното предложение: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1. Резюме на предложението:</w:t>
            </w:r>
          </w:p>
          <w:p w:rsidR="00FA6E5F" w:rsidRPr="001373CF" w:rsidRDefault="00FC7F6B" w:rsidP="00F577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  </w:t>
            </w:r>
            <w:r w:rsidR="00F5778A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Инвестиционното предложение е за нов обект</w:t>
            </w:r>
            <w:r w:rsidR="009B7347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="009B7347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5778A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обществено обслужваща дейност-</w:t>
            </w:r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площадка за </w:t>
            </w:r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събиране, съхраняване и третиране</w:t>
            </w:r>
            <w:r w:rsidR="009B7347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 xml:space="preserve"> и</w:t>
            </w:r>
            <w:r w:rsidR="00F5778A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 подготовка преди оползотворяване</w:t>
            </w:r>
            <w:r w:rsidR="009B7347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 w:bidi="as-IN"/>
              </w:rPr>
              <w:t>,</w:t>
            </w:r>
            <w:r w:rsidR="00F5778A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 </w:t>
            </w:r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на отпадъци-неопасни отработени автомобилни катализатори</w:t>
            </w:r>
            <w:r w:rsidR="009B7347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</w:t>
            </w:r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 xml:space="preserve"> събиране, съхраняване и третиране</w:t>
            </w:r>
            <w:r w:rsidR="009B7347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 xml:space="preserve"> и</w:t>
            </w:r>
            <w:r w:rsidR="00F5778A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 подготовка преди оползотворяване</w:t>
            </w:r>
            <w:r w:rsidR="00F5778A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 w:bidi="as-IN"/>
              </w:rPr>
              <w:t xml:space="preserve"> </w:t>
            </w:r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F5778A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керамичен монолит</w:t>
            </w:r>
            <w:r w:rsidR="00F5778A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.</w:t>
            </w:r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F5778A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</w:t>
            </w:r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</w:t>
            </w:r>
          </w:p>
          <w:p w:rsidR="00F5778A" w:rsidRPr="001373CF" w:rsidRDefault="00F5778A" w:rsidP="00FC7F6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Дейността 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включва операции по механично третиране: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сортиране, рязане-разделяне на</w:t>
            </w:r>
            <w:r w:rsidR="00FA6E5F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метала от керамичното тяло 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и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смилане</w:t>
            </w:r>
            <w:r w:rsidR="006473B2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хомогенизиране на получените отпадъци от</w:t>
            </w:r>
            <w:r w:rsidR="00FA6E5F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предварителното третиране.</w:t>
            </w:r>
            <w:r w:rsidR="0031483D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Също така</w:t>
            </w:r>
            <w:r w:rsidR="00A46F80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="0031483D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</w:t>
            </w:r>
            <w:r w:rsidR="0031483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ейността 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>включва операции по механично третиране: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хомогенизиране на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керамичен монолит</w:t>
            </w:r>
            <w:r w:rsidR="006473B2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,</w:t>
            </w:r>
            <w:r w:rsidR="0031483D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с код </w:t>
            </w:r>
            <w:r w:rsidR="00F6607E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19 12 12 - </w:t>
            </w:r>
            <w:r w:rsidR="00F6607E" w:rsidRPr="001373C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shd w:val="clear" w:color="auto" w:fill="000000"/>
              </w:rPr>
              <w:t>други отпадъци (включително смеси от материали) от механично третиране на отпадъци, различни от упоменатите в 19 12 11</w:t>
            </w:r>
            <w:r w:rsidR="00F6607E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</w:t>
            </w:r>
            <w:r w:rsidR="00FC7F6B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Керамичният монолит, който ще изкупуваме представлява прахообразна смес на отработени автомобилни катализатори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.</w:t>
            </w:r>
            <w:r w:rsidR="00F45C75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Инвестиционното предложение ще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 реализира в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поземлен имот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У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ПИ с идентификатор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56784 .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536 . 781</w:t>
            </w:r>
            <w:r w:rsidRPr="001373CF">
              <w:rPr>
                <w:rFonts w:ascii="Times New Roman" w:eastAsia="SimSu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местонахождение: област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Пловдив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, община Пловдив,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град Пловдив,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район Южен, п.к. 4000, улица „Братя Бъкстон“ №</w:t>
            </w:r>
            <w:r w:rsidR="00BE5283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SimSun" w:hAnsi="Times New Roman" w:cs="Times New Roman"/>
                <w:b/>
                <w:sz w:val="24"/>
                <w:szCs w:val="24"/>
                <w:lang w:val="bg-BG"/>
              </w:rPr>
              <w:t>134,</w:t>
            </w:r>
            <w:r w:rsidR="00F45C75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който е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 трайно предназначение на територията „Урбанизирана”</w:t>
            </w:r>
            <w:r w:rsidR="00E179F1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6473B2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с начин на трайно ползване „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  <w:t>Производствена и складова  дейност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”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, ведно с едноетажна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сграда с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идентификатор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56784 . 536 . 781 . 1,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ъс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  <w:t>застроена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площ от 387 кв.м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., </w:t>
            </w: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изградена едноетажна постройка, с предназначение „Битови у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слуги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6473B2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идентификатор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56784 . 536 . 781 . 2,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ъс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F45C75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  <w:t>застроена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площ от 33</w:t>
            </w:r>
            <w:r w:rsidR="00F45C75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 5 (пет) броя паркоместа, находящи се пред гореописаните сгади.</w:t>
            </w:r>
            <w:r w:rsidR="00F45C75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обственост</w:t>
            </w:r>
            <w:r w:rsidR="00F45C75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та 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„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КОМАРС СТРОЙИНВЕСТ" АД, ЕИК: 115082374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Съгласно сключен </w:t>
            </w: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на 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28.09.2022г</w:t>
            </w:r>
            <w:proofErr w:type="gramEnd"/>
            <w:r w:rsidR="00F45C75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договор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за наем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със собственика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,</w:t>
            </w:r>
            <w:r w:rsidR="001067A5"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д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ружеството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en-GB" w:eastAsia="bg-BG"/>
              </w:rPr>
              <w:t xml:space="preserve"> </w:t>
            </w: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„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РЕВЕНТОН</w:t>
            </w:r>
            <w:r w:rsidRPr="001373CF">
              <w:rPr>
                <w:rFonts w:ascii="Times New Roman" w:eastAsia="Arial" w:hAnsi="Times New Roman" w:cs="Times New Roman"/>
                <w:b/>
                <w:smallCaps/>
                <w:color w:val="000000"/>
                <w:sz w:val="24"/>
                <w:szCs w:val="24"/>
              </w:rPr>
              <w:t>”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ЕООД </w:t>
            </w:r>
            <w:r w:rsidRPr="001373CF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bg-BG"/>
              </w:rPr>
              <w:t xml:space="preserve">е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ползвател</w:t>
            </w:r>
            <w:r w:rsidR="00F45C75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имот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а.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F69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Горецитирания имот е с </w:t>
            </w:r>
            <w:r w:rsidR="006473B2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инсталация за осветление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и </w:t>
            </w: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К  инсталация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санитарен възел. Н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аемодателя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дав</w:t>
            </w:r>
            <w:r w:rsidR="006473B2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своето съгласие на наемателя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„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РЕВЕНТОН</w:t>
            </w:r>
            <w:r w:rsidRPr="001373CF">
              <w:rPr>
                <w:rFonts w:ascii="Times New Roman" w:eastAsia="Arial" w:hAnsi="Times New Roman" w:cs="Times New Roman"/>
                <w:b/>
                <w:smallCaps/>
                <w:color w:val="000000"/>
                <w:sz w:val="24"/>
                <w:szCs w:val="24"/>
              </w:rPr>
              <w:t>”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ЕООД да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изгради</w:t>
            </w:r>
            <w:r w:rsidR="00F45C75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в имот</w:t>
            </w:r>
            <w:r w:rsidR="006473B2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Площадка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за събиране, съхраняване и третиране на отпадъци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“, на която ще се</w:t>
            </w:r>
            <w:r w:rsidR="00F45C75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извършват дейностите с неопасни</w:t>
            </w:r>
            <w:r w:rsidR="006473B2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="006473B2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отпадъци (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отработени автомобилни катализатори и</w:t>
            </w:r>
            <w:r w:rsidR="006473B2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керамичен монолит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).</w:t>
            </w:r>
            <w:r w:rsidR="008F2930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Площадката включва закрити и открити площи, с положена трайна настилка. Не се предвижда изграждане на нова или промяна на съществуваща</w:t>
            </w:r>
            <w:r w:rsidR="006473B2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пътна инфраструктура. Достъпът до площадката е осигурен със съществуващата.</w:t>
            </w:r>
            <w:r w:rsidR="008F2930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Това инвестиционно намерение не предвижда извършване на строителни дейности.</w:t>
            </w:r>
            <w:r w:rsidR="008F2930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Наетия имот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сигурява извършване на дейностите</w:t>
            </w:r>
            <w:r w:rsidR="000E6FF2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на настоящото ИП. Тъй като</w:t>
            </w:r>
            <w:r w:rsidR="000E6FF2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площадката е подбрана да покрива изискванията за упражняване на дейността на дружеството, няма да се налага извършването на мащабни строителни работи</w:t>
            </w:r>
            <w:r w:rsidR="000E6FF2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свързани с изграждане на нови промишлени сгради,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кое</w:t>
            </w:r>
            <w:r w:rsidR="008F2930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 </w:t>
            </w:r>
            <w:proofErr w:type="gramStart"/>
            <w:r w:rsidR="008F2930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изключва  изкопни</w:t>
            </w:r>
            <w:proofErr w:type="gramEnd"/>
            <w:r w:rsidR="008F2930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дейности</w:t>
            </w:r>
            <w:r w:rsidR="000E6FF2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</w:t>
            </w:r>
            <w:r w:rsidR="008F2930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използване на взривни устройства.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Достъпът към площадката няма да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 промени и ще се извършва от съществуващия вход, като няма необходимост от изграждане на нови пътища.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се предвижда и изграждане на нов електопровод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Електрозахранването ще се осъществява, чрез съществуваща</w:t>
            </w:r>
            <w:r w:rsidR="000E6FF2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електропреносна мрежа.</w:t>
            </w:r>
            <w:r w:rsidR="008F2930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gramStart"/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Обекта  е</w:t>
            </w:r>
            <w:proofErr w:type="gramEnd"/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изградена В и К мрежа, като наемодателят има сключен договор с ВиК дружество</w:t>
            </w:r>
            <w:r w:rsidR="008F2930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то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предоставяне на услуги за водоснабдяване и канализация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Площадката отговаря на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изискванията заложени в чл. 38, ал. 1 на Зак</w:t>
            </w:r>
            <w:r w:rsidR="00505C54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она за управление на отпадъците.</w:t>
            </w:r>
            <w:r w:rsidR="008F2930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Предвидени са монтажни дейности за оборудване на обособено помещение от халето с необходимите съоръжения за механично третиране на отработени автомобилни катализатори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 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керамичен монолит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778A" w:rsidRPr="001373CF" w:rsidRDefault="00F5778A" w:rsidP="00E35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bg-BG" w:eastAsia="bg-BG"/>
              </w:rPr>
            </w:pPr>
            <w:r w:rsidRPr="001373CF">
              <w:rPr>
                <w:rFonts w:ascii="Times New Roman" w:hAnsi="Times New Roman"/>
                <w:b/>
                <w:color w:val="FFFFFF"/>
                <w:sz w:val="24"/>
                <w:szCs w:val="24"/>
                <w:lang w:val="bg-BG"/>
              </w:rPr>
              <w:t xml:space="preserve">Промишлена </w:t>
            </w:r>
            <w:r w:rsidRPr="001373CF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топкова мелница 2000 литра, производител:  </w:t>
            </w:r>
            <w:r w:rsidRPr="001373CF">
              <w:rPr>
                <w:rStyle w:val="Emphasis"/>
                <w:rFonts w:ascii="Times New Roman" w:hAnsi="Times New Roman"/>
                <w:b/>
                <w:i w:val="0"/>
                <w:color w:val="FFFFFF"/>
                <w:sz w:val="24"/>
                <w:szCs w:val="24"/>
              </w:rPr>
              <w:t>REFPOL SP Z O O</w:t>
            </w:r>
            <w:r w:rsidRPr="001373CF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, ul. 20, 64-410 Grobia,</w:t>
            </w:r>
            <w:r w:rsidR="00E3555F" w:rsidRPr="001373CF">
              <w:rPr>
                <w:rFonts w:ascii="Times New Roman" w:hAnsi="Times New Roman"/>
                <w:b/>
                <w:color w:val="FFFFFF"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KRS 0000752056, REGON 381547810, NIP 5951484661</w:t>
            </w:r>
            <w:r w:rsidRPr="001373CF">
              <w:rPr>
                <w:rFonts w:ascii="Times New Roman" w:hAnsi="Times New Roman"/>
                <w:b/>
                <w:color w:val="FFFFFF"/>
                <w:sz w:val="24"/>
                <w:szCs w:val="24"/>
                <w:lang w:val="bg-BG"/>
              </w:rPr>
              <w:t>;</w:t>
            </w:r>
          </w:p>
          <w:p w:rsidR="00F5778A" w:rsidRPr="001373CF" w:rsidRDefault="00F5778A" w:rsidP="00F577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bg-BG" w:eastAsia="bg-BG"/>
              </w:rPr>
            </w:pPr>
            <w:r w:rsidRPr="001373CF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Силоз 2000 литра, производител:  </w:t>
            </w:r>
            <w:r w:rsidRPr="001373CF">
              <w:rPr>
                <w:rStyle w:val="Emphasis"/>
                <w:rFonts w:ascii="Times New Roman" w:hAnsi="Times New Roman"/>
                <w:b/>
                <w:i w:val="0"/>
                <w:color w:val="FFFFFF"/>
                <w:sz w:val="24"/>
                <w:szCs w:val="24"/>
              </w:rPr>
              <w:t>REFPOL SP Z O O</w:t>
            </w:r>
            <w:r w:rsidR="00E3555F" w:rsidRPr="001373CF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, ul. 20, 64-410 Grobia, KRS </w:t>
            </w:r>
            <w:r w:rsidRPr="001373CF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0000752056, </w:t>
            </w:r>
          </w:p>
          <w:p w:rsidR="00F5778A" w:rsidRPr="001373CF" w:rsidRDefault="00F5778A" w:rsidP="00F5778A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3CF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REGON 381547810, NIP 5951484661</w:t>
            </w:r>
            <w:r w:rsidRPr="001373CF">
              <w:rPr>
                <w:rFonts w:ascii="Times New Roman" w:hAnsi="Times New Roman"/>
                <w:b/>
                <w:color w:val="FFFFFF"/>
                <w:sz w:val="24"/>
                <w:szCs w:val="24"/>
                <w:lang w:val="bg-BG"/>
              </w:rPr>
              <w:t>;</w:t>
            </w:r>
            <w:r w:rsidRPr="001373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778A" w:rsidRPr="001373CF" w:rsidRDefault="00F5778A" w:rsidP="00F577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bg-BG" w:eastAsia="bg-BG"/>
              </w:rPr>
            </w:pPr>
            <w:r w:rsidRPr="001373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</w:t>
            </w:r>
            <w:r w:rsidRPr="001373CF">
              <w:rPr>
                <w:rFonts w:ascii="Times New Roman" w:hAnsi="Times New Roman"/>
                <w:b/>
                <w:sz w:val="24"/>
                <w:szCs w:val="24"/>
              </w:rPr>
              <w:t>тационарна прахоулавяща система</w:t>
            </w:r>
            <w:r w:rsidRPr="001373CF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Ventur; </w:t>
            </w:r>
          </w:p>
          <w:p w:rsidR="00F5778A" w:rsidRPr="001373CF" w:rsidRDefault="00F5778A" w:rsidP="00E35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bg-BG" w:eastAsia="bg-BG"/>
              </w:rPr>
            </w:pPr>
            <w:r w:rsidRPr="001373CF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bg-BG" w:eastAsia="bg-BG"/>
              </w:rPr>
              <w:t>Хидравлична ножица, производител:  </w:t>
            </w:r>
            <w:r w:rsidRPr="001373CF">
              <w:rPr>
                <w:rFonts w:ascii="Times New Roman" w:eastAsia="Times New Roman" w:hAnsi="Times New Roman"/>
                <w:b/>
                <w:iCs/>
                <w:color w:val="FFFFFF"/>
                <w:sz w:val="24"/>
                <w:szCs w:val="24"/>
                <w:lang w:val="bg-BG" w:eastAsia="bg-BG"/>
              </w:rPr>
              <w:t>REFPOL SP Z O O</w:t>
            </w:r>
            <w:r w:rsidRPr="001373CF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bg-BG" w:eastAsia="bg-BG"/>
              </w:rPr>
              <w:t>, ul. 20, 64-410 Grobia, KRS 0000752056, REGON 381547810, NIP 5951484661;</w:t>
            </w:r>
          </w:p>
          <w:p w:rsidR="00F5778A" w:rsidRPr="001373CF" w:rsidRDefault="00F5778A" w:rsidP="00F577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bg-BG" w:eastAsia="bg-BG"/>
              </w:rPr>
            </w:pPr>
            <w:r w:rsidRPr="001373CF">
              <w:rPr>
                <w:rStyle w:val="y2iqfc"/>
                <w:rFonts w:ascii="Times New Roman" w:hAnsi="Times New Roman"/>
                <w:b/>
                <w:sz w:val="24"/>
                <w:szCs w:val="24"/>
                <w:lang w:val="bg-BG"/>
              </w:rPr>
              <w:t>В</w:t>
            </w:r>
            <w:r w:rsidRPr="001373CF">
              <w:rPr>
                <w:rStyle w:val="y2iqfc"/>
                <w:rFonts w:ascii="Times New Roman" w:hAnsi="Times New Roman"/>
                <w:b/>
                <w:sz w:val="24"/>
                <w:szCs w:val="24"/>
              </w:rPr>
              <w:t>ъздушно плазмен резак</w:t>
            </w:r>
            <w:r w:rsidRPr="001373CF">
              <w:rPr>
                <w:rStyle w:val="y2iqfc"/>
                <w:rFonts w:ascii="Times New Roman" w:hAnsi="Times New Roman"/>
                <w:b/>
                <w:sz w:val="24"/>
                <w:szCs w:val="24"/>
                <w:lang w:val="bg-BG"/>
              </w:rPr>
              <w:t>;</w:t>
            </w:r>
          </w:p>
          <w:p w:rsidR="00F5778A" w:rsidRPr="001373CF" w:rsidRDefault="00F5778A" w:rsidP="00F577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bg-BG" w:eastAsia="bg-BG"/>
              </w:rPr>
            </w:pPr>
            <w:r w:rsidRPr="001373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Лабораторна топкова мелница;</w:t>
            </w:r>
          </w:p>
          <w:p w:rsidR="00F5778A" w:rsidRPr="001373CF" w:rsidRDefault="00F5778A" w:rsidP="00F577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bg-BG" w:eastAsia="bg-BG"/>
              </w:rPr>
            </w:pPr>
            <w:r w:rsidRPr="001373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Спектрометър;</w:t>
            </w:r>
          </w:p>
          <w:p w:rsidR="00123901" w:rsidRPr="001373CF" w:rsidRDefault="00F5778A" w:rsidP="00F5778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866C74" w:rsidRPr="001373C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 </w:t>
            </w:r>
            <w:hyperlink r:id="rId6" w:tgtFrame="_blank" w:history="1">
              <w:r w:rsidR="00866C74" w:rsidRPr="001373CF">
                <w:rPr>
                  <w:rFonts w:ascii="Times New Roman" w:eastAsia="Times New Roman" w:hAnsi="Times New Roman" w:cs="Times New Roman"/>
                  <w:b/>
                  <w:bCs/>
                  <w:iCs/>
                  <w:sz w:val="18"/>
                  <w:szCs w:val="18"/>
                </w:rPr>
                <w:t>приложение № 1</w:t>
              </w:r>
            </w:hyperlink>
            <w:r w:rsidR="00866C74" w:rsidRPr="001373C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или </w:t>
            </w:r>
            <w:hyperlink r:id="rId7" w:tgtFrame="_blank" w:history="1">
              <w:r w:rsidR="00866C74" w:rsidRPr="001373CF">
                <w:rPr>
                  <w:rFonts w:ascii="Times New Roman" w:eastAsia="Times New Roman" w:hAnsi="Times New Roman" w:cs="Times New Roman"/>
                  <w:b/>
                  <w:bCs/>
                  <w:iCs/>
                  <w:sz w:val="18"/>
                  <w:szCs w:val="18"/>
                </w:rPr>
                <w:t>приложение № 2 към Закона за опазване на околната среда (ЗООС)</w:t>
              </w:r>
            </w:hyperlink>
          </w:p>
          <w:p w:rsidR="00866C74" w:rsidRPr="001373CF" w:rsidRDefault="00866C74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      </w:r>
          </w:p>
          <w:p w:rsidR="00F5778A" w:rsidRPr="001373CF" w:rsidRDefault="00F5778A" w:rsidP="00E355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Инвестиционното предложение е за нов обект  с обществено обслужваща дейност</w:t>
            </w:r>
            <w:r w:rsidR="00BF7471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BF7471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площадка за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 xml:space="preserve">събиране,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сортиране,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съхраняване и третиране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 xml:space="preserve"> и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 подготовка преди оползотворяване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на отпадъци</w:t>
            </w:r>
            <w:r w:rsidR="003B6C3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B6C3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неопасни отработени автомобилни катализатори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 xml:space="preserve"> събиране,</w:t>
            </w:r>
            <w:r w:rsidR="00052EE1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съхраняване и третиране</w:t>
            </w:r>
            <w:r w:rsidR="003B6C3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 xml:space="preserve"> и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 подготовка преди оползотворяване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 w:bidi="as-IN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керамичен монолит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.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5778A" w:rsidRPr="001373CF" w:rsidRDefault="00F5778A" w:rsidP="00F5778A">
            <w:pPr>
              <w:spacing w:after="12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Дейностите които ще се осъществяват на площадката са:</w:t>
            </w:r>
          </w:p>
          <w:p w:rsidR="00F5778A" w:rsidRPr="001373CF" w:rsidRDefault="00F5778A" w:rsidP="00F577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 12 – 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Размяна на отпадъци за подлагане на някоя от дейностите с кодове R 1 - R 11</w:t>
            </w:r>
          </w:p>
          <w:p w:rsidR="00F5778A" w:rsidRPr="001373CF" w:rsidRDefault="00F5778A" w:rsidP="00F5778A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/сортиране, рязане</w:t>
            </w:r>
            <w:r w:rsidRPr="001373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bg-BG"/>
              </w:rPr>
              <w:t>, смилане</w:t>
            </w:r>
            <w:r w:rsidRPr="001373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 др</w:t>
            </w:r>
            <w:proofErr w:type="gramStart"/>
            <w:r w:rsidRPr="001373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./</w:t>
            </w:r>
            <w:proofErr w:type="gramEnd"/>
          </w:p>
          <w:p w:rsidR="00F5778A" w:rsidRPr="001373CF" w:rsidRDefault="00F5778A" w:rsidP="00F5778A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 13 – 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Съхраняване на отпадъци до извършването на някоя от дейностите с кодове </w:t>
            </w:r>
          </w:p>
          <w:p w:rsidR="00F5778A" w:rsidRPr="001373CF" w:rsidRDefault="00F5778A" w:rsidP="006C5A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 1 - R 12 /с изключение на временното съхраняване на отпадъците на площадката на образуване до събирането им/.</w:t>
            </w:r>
            <w:r w:rsidR="00052EE1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 се предвижда изграждане на нова или промяна на съществуваща</w:t>
            </w:r>
            <w:r w:rsidR="003B6C3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пътна инфраструктура.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Това инвестиционно намерение не предвижда извършване на строителни дейности.</w:t>
            </w:r>
            <w:r w:rsidR="00052EE1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се предвижда ново строителство – наетия имот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сигурява извършване на дейностите</w:t>
            </w:r>
            <w:r w:rsidR="00052EE1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="00052EE1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на настоящото ИП. Тъй като</w:t>
            </w:r>
            <w:r w:rsidR="003B6C3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площадката е подбрана да покрива изискванията</w:t>
            </w:r>
            <w:r w:rsidR="00052EE1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за упражняване на дейността на дружеството, няма да се налага извършването на мащабни</w:t>
            </w:r>
            <w:r w:rsidR="00052EE1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строителни работи</w:t>
            </w:r>
            <w:r w:rsidR="00052EE1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свързани с изграждане на нови промишлени сгради,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което изключва изкопни </w:t>
            </w: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  и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използване на взривни устройства.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Достъпът към площадката няма да</w:t>
            </w:r>
            <w:r w:rsidR="00052EE1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 промени и ще се </w:t>
            </w:r>
            <w:proofErr w:type="gramStart"/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извършва  от</w:t>
            </w:r>
            <w:proofErr w:type="gramEnd"/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съществуващия вход, като няма необходимост от</w:t>
            </w:r>
            <w:r w:rsidR="00052EE1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изграждане на нови пътища.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се предвижда и изграждане на нов електопровод</w:t>
            </w:r>
            <w:r w:rsidR="00052EE1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052EE1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Електрозахранването ще се осъществява, чрез съществуваща електропреносна мрежа.</w:t>
            </w:r>
            <w:r w:rsidR="00052EE1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gramStart"/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Обекта  е</w:t>
            </w:r>
            <w:proofErr w:type="gramEnd"/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изградена В и К мрежа, като наемодателят има сключен договор с ВиК дружество</w:t>
            </w:r>
            <w:r w:rsidR="00052EE1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то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предоставяне на услуги</w:t>
            </w:r>
            <w:r w:rsidR="003B6C39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водоснабдяване и канализация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Площадката отговаря на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изискванията заложени в чл. 38, ал. 1 на Закона за управление на отпадъците /обн. ДВ бр. 53 от 13.07.2012 г.,</w:t>
            </w:r>
            <w:proofErr w:type="gramStart"/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1A4994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End"/>
            <w:r w:rsidR="003B6C3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1A4994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лощадката </w:t>
            </w: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е  оградена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достъпът до нея се осъществява</w:t>
            </w:r>
            <w:r w:rsidR="001A4994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чрез съществуваща пътна инфраструктура в района.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4994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бособена е </w:t>
            </w: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зона  за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престой на колите по време на извършване на дейностите</w:t>
            </w:r>
            <w:r w:rsidR="004E2C0F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товаре</w:t>
            </w:r>
            <w:r w:rsidR="001A4994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не и разтоварване на отпадъците.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4994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бособен </w:t>
            </w: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е  контролно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приемно – предавателен пункт, чрез който се осъществява входящия и изходящия контрол на отпадъци с  разпо</w:t>
            </w:r>
            <w:r w:rsidR="001A4994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ложен в него електронен кантар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4994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1A4994"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</w:t>
            </w:r>
            <w:r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територията на площадката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ще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 налични необходимо количество сорбенти, които ще се използват при евентуални раз</w:t>
            </w:r>
            <w:r w:rsidR="00B907B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ливи.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07B9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B907B9"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</w:t>
            </w:r>
            <w:r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сигурени са  закрити складови помещения</w:t>
            </w:r>
            <w:r w:rsidR="00B907B9"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 с непропусклив под</w:t>
            </w:r>
            <w:r w:rsidR="00B907B9"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 оборудвани със специални</w:t>
            </w:r>
            <w:r w:rsidR="00B907B9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съдове за разделно събиране и временно  съхраняване  на </w:t>
            </w:r>
            <w:r w:rsidR="004E2C0F"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  <w:t xml:space="preserve">приетите и </w:t>
            </w:r>
            <w:r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образуваните от дейностт</w:t>
            </w:r>
            <w:r w:rsidR="003B6C39"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 на дружеството производствени</w:t>
            </w:r>
            <w:r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отпадъци</w:t>
            </w:r>
            <w:r w:rsidR="004E2C0F"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 отпадъци съдържащи</w:t>
            </w:r>
            <w:r w:rsidR="003B6C39"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и/или замърсени с опасни вещества.</w:t>
            </w:r>
            <w:r w:rsidR="004E2C0F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B907B9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FA29A0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зградени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 места и съоръжения със съответно технологично оборудване за изпълнение на </w:t>
            </w:r>
            <w:r w:rsidR="00B907B9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гореописаните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дейност</w:t>
            </w:r>
            <w:r w:rsidR="00B907B9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ти.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Предвидени са</w:t>
            </w:r>
            <w:r w:rsidR="00FA29A0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монтажни </w:t>
            </w:r>
            <w:proofErr w:type="gramStart"/>
            <w:r w:rsidR="00FA29A0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дейности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обособено помещение от халето с необходимите съоръжения</w:t>
            </w:r>
            <w:r w:rsidR="00B907B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 оборудване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механично третиране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Дейностите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по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събиране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 сортиране,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съхранение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предварителна обработка на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неопасни отпадъци</w:t>
            </w:r>
            <w:r w:rsidR="00FA29A0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A29A0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отработени автомобилни катализатори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</w:t>
            </w:r>
            <w:proofErr w:type="gramEnd"/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разчетени за петдневна работна седмица</w:t>
            </w:r>
            <w:r w:rsidR="006C5A1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 осем часов работен ден, като прогнозния общ капацитет на преработваните отпадъци</w:t>
            </w:r>
            <w:r w:rsidR="00FA29A0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 този режим на работа е около 1,5</w:t>
            </w:r>
            <w:r w:rsidR="00FA29A0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тона за денонощие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максимално 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378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тона на година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778A" w:rsidRPr="001373CF" w:rsidRDefault="00F5778A" w:rsidP="0078582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Дейностите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по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събиране</w:t>
            </w:r>
            <w:r w:rsidR="001947E2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5FF1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съхранение </w:t>
            </w:r>
            <w:r w:rsidR="00985FF1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985FF1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хомогенизиране на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керамичен монолит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proofErr w:type="gramStart"/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 в</w:t>
            </w:r>
            <w:proofErr w:type="gramEnd"/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прахообразна форма)</w:t>
            </w:r>
            <w:r w:rsidR="006C5A1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="00B11F46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19 12 12 - </w:t>
            </w:r>
            <w:r w:rsidR="00B11F46" w:rsidRPr="001373C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shd w:val="clear" w:color="auto" w:fill="000000"/>
              </w:rPr>
              <w:t>други отпадъци (включително смеси от материали) от механично третиране на отпадъци, различни от упоменатите в 19 12 11</w:t>
            </w:r>
            <w:r w:rsidR="00B11F46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,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 разчетени за петдневна</w:t>
            </w:r>
            <w:r w:rsidR="006C5A1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работна седмица</w:t>
            </w:r>
            <w:r w:rsidR="006C5A1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 осем часов работен ден, като прогнозния общ капацитет на преработваните отпадъци</w:t>
            </w:r>
            <w:r w:rsidR="0078582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 този режим на работа е около 0,4</w:t>
            </w:r>
            <w:r w:rsidR="006C5A1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тона за денонощие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максимално 100 тона на година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Предвижда се дейностите с отпадъци да се извършват на площ от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  <w:r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кв.м..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След реализацията и последващата експлоатация на ИП, на територията на площадката</w:t>
            </w:r>
            <w:r w:rsidR="006C5A1D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,</w:t>
            </w:r>
            <w:r w:rsidR="0078582D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ще 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 осъществяват следните дейности:</w:t>
            </w:r>
          </w:p>
          <w:p w:rsidR="00B11F46" w:rsidRPr="001373CF" w:rsidRDefault="00F5778A" w:rsidP="00B11F4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 по събиране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 сортиране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, съхранение, рязане и смилане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отработени автомобилни катализатори;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 по събиране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съхранение и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хомогенизиране на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керамичен монолит</w:t>
            </w:r>
            <w:r w:rsidR="0078582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C5A1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прахообразна форма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 код </w:t>
            </w:r>
            <w:r w:rsidR="00B11F46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19 12 12 - </w:t>
            </w:r>
            <w:r w:rsidR="00B11F46" w:rsidRPr="001373C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shd w:val="clear" w:color="auto" w:fill="000000"/>
              </w:rPr>
              <w:t>други отпадъци (включително смеси от материали) от механично третиране на отпадъци, различни от упоменатите в 19 12 11</w:t>
            </w:r>
            <w:r w:rsidR="00B11F46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</w:t>
            </w:r>
          </w:p>
          <w:p w:rsidR="007C14CD" w:rsidRPr="001373CF" w:rsidRDefault="00EC6EDA" w:rsidP="00826B4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Дейности </w:t>
            </w:r>
            <w:proofErr w:type="gramStart"/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по  съхранение</w:t>
            </w:r>
            <w:proofErr w:type="gramEnd"/>
            <w:r w:rsidR="00F5778A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F5778A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</w:t>
            </w:r>
            <w:r w:rsidR="006C5A1D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дварително третиране на неопасн</w:t>
            </w:r>
            <w:r w:rsidR="00F5778A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производствен</w:t>
            </w:r>
            <w:r w:rsidR="00F5778A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</w:t>
            </w:r>
            <w:r w:rsidR="00F5778A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отпадъци</w:t>
            </w:r>
            <w:r w:rsidR="007C14C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Посочените дейности с отпадъци ще се извършват в следната технологична последователност</w:t>
            </w:r>
            <w:r w:rsidR="007C14C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Постъпилите на площадката неопасни отработени автомобилни катализатори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от физически или юридически лица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зависимост от вида им се складират разделно. Обособена е зона за подготовка </w:t>
            </w:r>
            <w:r w:rsidR="007C14C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преди последваща преработка:</w:t>
            </w:r>
            <w:r w:rsidR="008B51F1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– </w:t>
            </w:r>
            <w:r w:rsidR="007C14C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ортиране: </w:t>
            </w:r>
            <w:r w:rsidR="007C14C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операциита обхваща всички постъпили на площадката 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отработени автомобилни катализатори</w:t>
            </w:r>
            <w:r w:rsidR="007C14C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Ще се извършва ръчно от квалифициран </w:t>
            </w:r>
            <w:proofErr w:type="gramStart"/>
            <w:r w:rsidR="007C14C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персонал  и</w:t>
            </w:r>
            <w:proofErr w:type="gramEnd"/>
            <w:r w:rsidR="007C14C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цели </w:t>
            </w:r>
            <w:r w:rsidR="007C14CD" w:rsidRPr="001373C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разделянето</w:t>
            </w:r>
            <w:r w:rsidR="00826B4B" w:rsidRPr="001373C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g-BG"/>
              </w:rPr>
              <w:t>,</w:t>
            </w:r>
            <w:r w:rsidR="007C14CD" w:rsidRPr="001373C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и</w:t>
            </w:r>
            <w:r w:rsidR="007C14CD" w:rsidRPr="001373C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g-BG"/>
              </w:rPr>
              <w:t xml:space="preserve"> </w:t>
            </w:r>
            <w:r w:rsidR="007C14CD" w:rsidRPr="001373C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окачествяването  им в зависимост от техния вид, състав и свойства, което ще </w:t>
            </w:r>
            <w:r w:rsidR="007C14C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улесни  и подготовката им за понататъчно рец</w:t>
            </w:r>
            <w:r w:rsidR="008B51F1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иклиране и/или оползотворяване;</w:t>
            </w:r>
            <w:r w:rsidR="008B51F1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– 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Рязане</w:t>
            </w:r>
            <w:r w:rsidR="007C14C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чрез тази операция  се цели 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разделяне на метала от керамичното тяло. В зависимост от габаритните размери, вида и дебелината на металната обвивка, в която е керамичното тяло ще се използват два вида оборудване:</w:t>
            </w:r>
            <w:r w:rsidR="007C14CD" w:rsidRPr="001373C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въздушно плазмен резак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и  хидравлична</w:t>
            </w:r>
            <w:proofErr w:type="gramEnd"/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1F1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ножица</w:t>
            </w:r>
            <w:r w:rsidR="008B51F1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;</w:t>
            </w:r>
            <w:r w:rsidR="008B51F1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– 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Смилане 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и хомогенезиране 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на отпадъците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7C14CD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За целта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ще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 използва 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индустриална 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топкова мелница</w:t>
            </w:r>
            <w:r w:rsidR="007C14CD" w:rsidRPr="001373C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2000 литра.</w:t>
            </w:r>
            <w:r w:rsidR="007C14CD" w:rsidRPr="001373C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bg-BG"/>
              </w:rPr>
              <w:t xml:space="preserve"> 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Материала се зарежда през отвора, като количеството варира от 0.5 тона до 1</w:t>
            </w:r>
            <w:proofErr w:type="gramStart"/>
            <w:r w:rsidR="007C14CD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,5</w:t>
            </w:r>
            <w:proofErr w:type="gramEnd"/>
            <w:r w:rsidR="007C14CD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тона, цикъла на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смилане </w:t>
            </w:r>
            <w:r w:rsidR="007C14CD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 хомогенезиране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около четири час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а.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С 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помощта на електрокар ще се изсипва в барабана на мелницата керамичен монолит. След херметичното затваряне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мелницата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,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ще се извършва процес на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смилане и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хомогенизация</w:t>
            </w:r>
            <w:r w:rsidR="00353E82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,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или само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хомогенизация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. 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Целта на този процес е постигането на достоверен резултат от качествената проба за ценни метали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. 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След приключване на 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хомогенизацията мелницата се отваря и се взема материал за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анализ. Индустриалната мелница се затваря, а материалът се транспортира до силоза с помощта на тръбна система, от където се опакова в индустриални чували.</w:t>
            </w:r>
            <w:r w:rsidR="007C14CD"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7C14CD" w:rsidRPr="001373CF" w:rsidRDefault="007C14CD" w:rsidP="007C14CD">
            <w:pPr>
              <w:tabs>
                <w:tab w:val="right" w:leader="dot" w:pos="4394"/>
              </w:tabs>
              <w:spacing w:before="57" w:after="100" w:afterAutospacing="1" w:line="240" w:lineRule="auto"/>
              <w:ind w:left="60"/>
              <w:jc w:val="both"/>
              <w:textAlignment w:val="center"/>
              <w:rPr>
                <w:rFonts w:ascii="Times New Roman" w:eastAsia="SimSun" w:hAnsi="Times New Roman" w:cs="Times New Roman"/>
                <w:b/>
                <w:color w:val="FFFFFF"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Очаква се при дейностите рязане-разделяне на метала от керамичното тяло 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и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смилане</w:t>
            </w:r>
            <w:r w:rsidR="00353E82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20F8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 хомогени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зиране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на керамични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катализатори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се сформират прахови емисии. За целта приозводственото помещение, където ще се извършват тези дейности ще се оборудва със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тационарна прахоулавяща система</w:t>
            </w:r>
            <w:r w:rsidRPr="001373C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Ventur.</w:t>
            </w:r>
          </w:p>
          <w:p w:rsidR="007C14CD" w:rsidRPr="001373CF" w:rsidRDefault="007C14CD" w:rsidP="007C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bg-BG" w:eastAsia="bg-BG"/>
              </w:rPr>
            </w:pPr>
            <w:r w:rsidRPr="001373CF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Приетите от физически </w:t>
            </w:r>
            <w:r w:rsidRPr="001373CF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bg-BG"/>
              </w:rPr>
              <w:t>и/</w:t>
            </w:r>
            <w:r w:rsidRPr="001373CF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или юридически лица, включително и генерираните от дейноста </w:t>
            </w:r>
            <w:r w:rsidRPr="001373CF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bg-BG"/>
              </w:rPr>
              <w:t>отпадъци</w:t>
            </w:r>
            <w:r w:rsidRPr="001373CF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gramStart"/>
            <w:r w:rsidRPr="001373CF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ще  се</w:t>
            </w:r>
            <w:proofErr w:type="gramEnd"/>
            <w:r w:rsidRPr="001373CF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събират разделно и съхраняват по подходящ начин, съгласно техния вид, състав и характерни свойства. 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да се избегне струпване на големи количества  отпадъци на </w:t>
            </w:r>
          </w:p>
          <w:p w:rsidR="007C14CD" w:rsidRPr="001373CF" w:rsidRDefault="007C14CD" w:rsidP="007C14CD">
            <w:pPr>
              <w:tabs>
                <w:tab w:val="right" w:leader="dot" w:pos="4394"/>
              </w:tabs>
              <w:spacing w:before="57" w:after="100" w:afterAutospacing="1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площадката</w:t>
            </w:r>
            <w:proofErr w:type="gramEnd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 ще се осигури  регулярното им приемане, съобразно капацитета на съоръженията и възможностите на обслужващия персонал.</w:t>
            </w:r>
          </w:p>
          <w:p w:rsidR="00F5778A" w:rsidRPr="001373CF" w:rsidRDefault="00EC6EDA" w:rsidP="002A038A">
            <w:pPr>
              <w:pStyle w:val="ListParagraph"/>
              <w:spacing w:after="0" w:line="240" w:lineRule="auto"/>
              <w:ind w:left="1068"/>
              <w:jc w:val="both"/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73CF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 xml:space="preserve"> Всички количества на представените отпадъци не са моментни и няма да има натрупване на отпадъци. Представените количества са максималния годишен капацитет, който може да се третира на територията на плошадката за една година, като е съобразен с площта, съдове за съхраняване, налични складове, необходим брой служители.</w:t>
            </w:r>
          </w:p>
          <w:tbl>
            <w:tblPr>
              <w:tblpPr w:leftFromText="141" w:rightFromText="141" w:vertAnchor="text" w:horzAnchor="page" w:tblpX="531" w:tblpY="185"/>
              <w:tblOverlap w:val="never"/>
              <w:tblW w:w="8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9"/>
              <w:gridCol w:w="1086"/>
              <w:gridCol w:w="1822"/>
              <w:gridCol w:w="3810"/>
              <w:gridCol w:w="1499"/>
            </w:tblGrid>
            <w:tr w:rsidR="00F5778A" w:rsidRPr="001373CF" w:rsidTr="001A2DB4">
              <w:trPr>
                <w:cantSplit/>
                <w:trHeight w:val="285"/>
              </w:trPr>
              <w:tc>
                <w:tcPr>
                  <w:tcW w:w="459" w:type="dxa"/>
                </w:tcPr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67" w:type="dxa"/>
                  <w:gridSpan w:val="2"/>
                </w:tcPr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Вид на отпадъка </w:t>
                  </w:r>
                </w:p>
              </w:tc>
              <w:tc>
                <w:tcPr>
                  <w:tcW w:w="3851" w:type="dxa"/>
                  <w:vMerge w:val="restart"/>
                </w:tcPr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Дейности по</w:t>
                  </w: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кодове </w:t>
                  </w:r>
                </w:p>
              </w:tc>
              <w:tc>
                <w:tcPr>
                  <w:tcW w:w="1499" w:type="dxa"/>
                  <w:vMerge w:val="restart"/>
                </w:tcPr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proofErr w:type="gramStart"/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тон/год</w:t>
                  </w:r>
                  <w:proofErr w:type="gramEnd"/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.)</w:t>
                  </w:r>
                </w:p>
              </w:tc>
            </w:tr>
            <w:tr w:rsidR="00F5778A" w:rsidRPr="001373CF" w:rsidTr="001A2DB4">
              <w:trPr>
                <w:cantSplit/>
                <w:trHeight w:val="169"/>
              </w:trPr>
              <w:tc>
                <w:tcPr>
                  <w:tcW w:w="459" w:type="dxa"/>
                  <w:vMerge w:val="restart"/>
                </w:tcPr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1771" w:type="dxa"/>
                </w:tcPr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851" w:type="dxa"/>
                  <w:vMerge/>
                </w:tcPr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vMerge/>
                </w:tcPr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5778A" w:rsidRPr="001373CF" w:rsidTr="001A2DB4">
              <w:trPr>
                <w:cantSplit/>
                <w:trHeight w:val="326"/>
              </w:trPr>
              <w:tc>
                <w:tcPr>
                  <w:tcW w:w="459" w:type="dxa"/>
                  <w:vMerge/>
                  <w:tcBorders>
                    <w:bottom w:val="single" w:sz="4" w:space="0" w:color="auto"/>
                  </w:tcBorders>
                </w:tcPr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1" w:type="dxa"/>
                  <w:tcBorders>
                    <w:bottom w:val="single" w:sz="4" w:space="0" w:color="auto"/>
                  </w:tcBorders>
                </w:tcPr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51" w:type="dxa"/>
                  <w:tcBorders>
                    <w:bottom w:val="single" w:sz="4" w:space="0" w:color="auto"/>
                  </w:tcBorders>
                </w:tcPr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9" w:type="dxa"/>
                  <w:tcBorders>
                    <w:bottom w:val="single" w:sz="4" w:space="0" w:color="auto"/>
                  </w:tcBorders>
                </w:tcPr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F5778A" w:rsidRPr="001373CF" w:rsidTr="001A2DB4">
              <w:trPr>
                <w:cantSplit/>
                <w:trHeight w:val="166"/>
              </w:trPr>
              <w:tc>
                <w:tcPr>
                  <w:tcW w:w="459" w:type="dxa"/>
                </w:tcPr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</w:t>
                  </w:r>
                  <w:r w:rsidR="00596808"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</w:t>
                  </w: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6F7A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2.</w:t>
                  </w: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3.</w:t>
                  </w:r>
                </w:p>
              </w:tc>
              <w:tc>
                <w:tcPr>
                  <w:tcW w:w="1096" w:type="dxa"/>
                </w:tcPr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16 08 01</w:t>
                  </w: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16 08 03</w:t>
                  </w: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0215E5" w:rsidRPr="001373CF" w:rsidRDefault="000215E5" w:rsidP="000215E5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 xml:space="preserve">19 12 12 </w:t>
                  </w:r>
                </w:p>
                <w:p w:rsidR="00F5778A" w:rsidRPr="001373CF" w:rsidRDefault="00F5778A" w:rsidP="00F5778A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71" w:type="dxa"/>
                </w:tcPr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 xml:space="preserve">отработени катализатори, съдържащи злато, сребро, рений, родий, паладий, иридий или плати(с изключение на 16 08 07)   </w:t>
                  </w: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отработени катализатори, съдържащи преходни метали или съединения на преходни метали, които не са упоменати другаде</w:t>
                  </w:r>
                  <w:r w:rsidR="000215E5"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.</w:t>
                  </w:r>
                </w:p>
                <w:p w:rsidR="00F5778A" w:rsidRPr="001373CF" w:rsidRDefault="000215E5" w:rsidP="000215E5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1373CF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  <w:shd w:val="clear" w:color="auto" w:fill="000000"/>
                    </w:rPr>
                    <w:t>други</w:t>
                  </w:r>
                  <w:proofErr w:type="gramEnd"/>
                  <w:r w:rsidRPr="001373CF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  <w:shd w:val="clear" w:color="auto" w:fill="000000"/>
                    </w:rPr>
                    <w:t xml:space="preserve"> отпадъци (включително смеси от материали) от механично третиране на отпадъци, различни от упоменатите в 19 12 11</w:t>
                  </w:r>
                  <w:r w:rsidRPr="001373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.</w:t>
                  </w:r>
                </w:p>
              </w:tc>
              <w:tc>
                <w:tcPr>
                  <w:tcW w:w="3851" w:type="dxa"/>
                </w:tcPr>
                <w:p w:rsidR="00F5778A" w:rsidRPr="001373CF" w:rsidRDefault="00F5778A" w:rsidP="00F5778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R</w:t>
                  </w: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12 </w:t>
                  </w: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– </w:t>
                  </w:r>
                  <w:r w:rsidRPr="001373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Размяна на отпадъци за подлагане на някоя от дейностите с кодове R 1 - R 11</w:t>
                  </w:r>
                </w:p>
                <w:p w:rsidR="00F5778A" w:rsidRPr="001373CF" w:rsidRDefault="00F5778A" w:rsidP="00F577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– / </w:t>
                  </w: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сортиране; рязане-разделяне на метала от керамичното тяло </w:t>
                  </w: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bg-BG" w:bidi="as-IN"/>
                    </w:rPr>
                    <w:t xml:space="preserve">и </w:t>
                  </w: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смилане, и хомогенезиране</w:t>
                  </w: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керамични катализатори</w:t>
                  </w: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/;</w:t>
                  </w:r>
                </w:p>
                <w:p w:rsidR="00F5778A" w:rsidRPr="001373CF" w:rsidRDefault="00F5778A" w:rsidP="00F5778A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R</w:t>
                  </w: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13</w:t>
                  </w: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– </w:t>
                  </w:r>
                  <w:r w:rsidRPr="001373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Съхраняване на отпадъци до извършването на някоя от дейностите с кодове </w:t>
                  </w:r>
                </w:p>
                <w:p w:rsidR="00F5778A" w:rsidRPr="001373CF" w:rsidRDefault="00F5778A" w:rsidP="00F5778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373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R 1 - R 12 /с изключение на временното съхраняване на отпадъците на площадката на </w:t>
                  </w:r>
                </w:p>
                <w:p w:rsidR="00F5778A" w:rsidRPr="001373CF" w:rsidRDefault="00F5778A" w:rsidP="00F5778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1373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образуване</w:t>
                  </w:r>
                  <w:proofErr w:type="gramEnd"/>
                  <w:r w:rsidRPr="001373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до събирането им/.</w:t>
                  </w:r>
                </w:p>
                <w:p w:rsidR="00F5778A" w:rsidRPr="001373CF" w:rsidRDefault="00F5778A" w:rsidP="00F5778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42024E" w:rsidRPr="001373CF" w:rsidRDefault="0042024E" w:rsidP="00F5778A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42024E" w:rsidRPr="001373CF" w:rsidRDefault="0042024E" w:rsidP="00F5778A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42024E" w:rsidRPr="001373CF" w:rsidRDefault="0042024E" w:rsidP="00F5778A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42024E" w:rsidRPr="001373CF" w:rsidRDefault="0042024E" w:rsidP="00F5778A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42024E" w:rsidRPr="001373CF" w:rsidRDefault="0042024E" w:rsidP="00F5778A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F5778A" w:rsidRPr="001373CF" w:rsidRDefault="00F5778A" w:rsidP="00F5778A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R</w:t>
                  </w: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12 , </w:t>
                  </w: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R</w:t>
                  </w: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13;</w:t>
                  </w:r>
                </w:p>
                <w:p w:rsidR="00F5778A" w:rsidRPr="001373CF" w:rsidRDefault="00F5778A" w:rsidP="00F577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</w:tcPr>
                <w:p w:rsidR="00F5778A" w:rsidRPr="001373CF" w:rsidRDefault="00642583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–</w:t>
                  </w:r>
                  <w:r w:rsidR="00F5778A"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350  т.</w:t>
                  </w: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5778A" w:rsidRPr="001373CF" w:rsidRDefault="00642583" w:rsidP="0064258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 xml:space="preserve">–28 </w:t>
                  </w:r>
                  <w:r w:rsidR="00F5778A" w:rsidRPr="001373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т.</w:t>
                  </w: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5778A" w:rsidRPr="001373CF" w:rsidRDefault="00F5778A" w:rsidP="00F5778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F20F8" w:rsidRPr="001373CF" w:rsidRDefault="009F20F8" w:rsidP="009F20F8">
                  <w:pPr>
                    <w:pStyle w:val="ListParagraph"/>
                    <w:spacing w:line="240" w:lineRule="auto"/>
                    <w:ind w:left="4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9F20F8" w:rsidRPr="001373CF" w:rsidRDefault="009F20F8" w:rsidP="009F20F8">
                  <w:pPr>
                    <w:pStyle w:val="ListParagraph"/>
                    <w:spacing w:line="240" w:lineRule="auto"/>
                    <w:ind w:left="4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9F20F8" w:rsidRPr="001373CF" w:rsidRDefault="009F20F8" w:rsidP="009F20F8">
                  <w:pPr>
                    <w:pStyle w:val="ListParagraph"/>
                    <w:spacing w:line="240" w:lineRule="auto"/>
                    <w:ind w:left="4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9F20F8" w:rsidRPr="001373CF" w:rsidRDefault="009F20F8" w:rsidP="009F20F8">
                  <w:pPr>
                    <w:pStyle w:val="ListParagraph"/>
                    <w:spacing w:line="240" w:lineRule="auto"/>
                    <w:ind w:left="4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9F20F8" w:rsidRPr="001373CF" w:rsidRDefault="009F20F8" w:rsidP="009F20F8">
                  <w:pPr>
                    <w:pStyle w:val="ListParagraph"/>
                    <w:spacing w:line="240" w:lineRule="auto"/>
                    <w:ind w:left="4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F5778A" w:rsidRPr="001373CF" w:rsidRDefault="009F20F8" w:rsidP="009F20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–</w:t>
                  </w:r>
                  <w:r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100 </w:t>
                  </w:r>
                  <w:r w:rsidR="00F5778A" w:rsidRPr="001373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т.</w:t>
                  </w:r>
                </w:p>
              </w:tc>
            </w:tr>
          </w:tbl>
          <w:p w:rsidR="00F5778A" w:rsidRPr="001373CF" w:rsidRDefault="00F5778A" w:rsidP="00F5778A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78A" w:rsidRPr="001373CF" w:rsidRDefault="00F5778A" w:rsidP="00F577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F5778A" w:rsidRPr="001373CF" w:rsidRDefault="00F5778A" w:rsidP="00F577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F5778A" w:rsidRPr="001373CF" w:rsidRDefault="00F5778A" w:rsidP="00F577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</w:t>
            </w:r>
          </w:p>
          <w:p w:rsidR="00F5778A" w:rsidRPr="001373CF" w:rsidRDefault="00F5778A" w:rsidP="00F5778A">
            <w:pPr>
              <w:spacing w:line="360" w:lineRule="auto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F5778A" w:rsidRPr="001373CF" w:rsidRDefault="00F5778A" w:rsidP="00F5778A">
            <w:pPr>
              <w:spacing w:line="360" w:lineRule="auto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F5778A" w:rsidRPr="001373CF" w:rsidRDefault="00F5778A" w:rsidP="00F5778A">
            <w:pPr>
              <w:spacing w:line="360" w:lineRule="auto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F5778A" w:rsidRPr="001373CF" w:rsidRDefault="00F5778A" w:rsidP="00F5778A">
            <w:pPr>
              <w:spacing w:line="360" w:lineRule="auto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F5778A" w:rsidRPr="001373CF" w:rsidRDefault="00F5778A" w:rsidP="00F5778A">
            <w:pPr>
              <w:spacing w:line="360" w:lineRule="auto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F5778A" w:rsidRPr="001373CF" w:rsidRDefault="00F5778A" w:rsidP="00F5778A">
            <w:pPr>
              <w:spacing w:line="360" w:lineRule="auto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F5778A" w:rsidRPr="001373CF" w:rsidRDefault="00F5778A" w:rsidP="00F5778A">
            <w:pPr>
              <w:spacing w:line="360" w:lineRule="auto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F5778A" w:rsidRPr="001373CF" w:rsidRDefault="00F5778A" w:rsidP="00F5778A">
            <w:pPr>
              <w:spacing w:line="360" w:lineRule="auto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F5778A" w:rsidRPr="001373CF" w:rsidRDefault="00F5778A" w:rsidP="00F5778A">
            <w:pPr>
              <w:spacing w:line="360" w:lineRule="auto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F5778A" w:rsidRPr="001373CF" w:rsidRDefault="00F5778A" w:rsidP="00F5778A">
            <w:pPr>
              <w:spacing w:line="360" w:lineRule="auto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F5778A" w:rsidRPr="001373CF" w:rsidRDefault="00F5778A" w:rsidP="00F5778A">
            <w:pPr>
              <w:spacing w:line="360" w:lineRule="auto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F5778A" w:rsidRPr="001373CF" w:rsidRDefault="00F5778A" w:rsidP="00F577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596808" w:rsidRPr="001373CF" w:rsidRDefault="00596808" w:rsidP="00F577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636F81" w:rsidRPr="001373CF" w:rsidRDefault="00636F81" w:rsidP="00501D86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636F81" w:rsidRPr="001373CF" w:rsidRDefault="00636F81" w:rsidP="00501D86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636F81" w:rsidRPr="001373CF" w:rsidRDefault="00636F81" w:rsidP="00501D86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2A038A" w:rsidRPr="001373CF" w:rsidRDefault="002A038A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  <w:p w:rsidR="002A038A" w:rsidRPr="001373CF" w:rsidRDefault="002A038A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  <w:p w:rsidR="00866C74" w:rsidRPr="001373CF" w:rsidRDefault="00866C74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      </w:r>
          </w:p>
          <w:p w:rsidR="00F5778A" w:rsidRPr="001373CF" w:rsidRDefault="00F5778A" w:rsidP="000E5758">
            <w:pPr>
              <w:tabs>
                <w:tab w:val="right" w:leader="dot" w:pos="4394"/>
              </w:tabs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Инвестиционното предложение няма връзка с други съществуващи и одобрени с устройствен или</w:t>
            </w:r>
            <w:r w:rsidR="007056A8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друг план дейности. Поземлени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я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имот в който ще се реализира инвестиционното предложение е</w:t>
            </w:r>
            <w:r w:rsidR="007056A8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 трайно предназначение на територията „Урбанизирана” и начин на трайно ползване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„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</w:t>
            </w:r>
            <w:r w:rsidR="007056A8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на и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складов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”.</w:t>
            </w:r>
            <w:r w:rsidR="007056A8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 реализация на инвестиционното предложение</w:t>
            </w:r>
            <w:r w:rsidR="000E5758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 необходимо издаване на становище от РИОСВ</w:t>
            </w:r>
            <w:r w:rsidR="000E5758"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0E5758"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Пловдив.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За последващата експлоатация</w:t>
            </w:r>
            <w:r w:rsidR="000E5758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8F51EA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ИП, </w:t>
            </w:r>
            <w:r w:rsidR="00642583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необходимо</w:t>
            </w:r>
            <w:r w:rsidR="00642583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дружеството </w:t>
            </w: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„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РЕВЕНТОН</w:t>
            </w:r>
            <w:r w:rsidRPr="001373CF">
              <w:rPr>
                <w:rFonts w:ascii="Times New Roman" w:eastAsia="Arial" w:hAnsi="Times New Roman" w:cs="Times New Roman"/>
                <w:b/>
                <w:smallCaps/>
                <w:color w:val="000000"/>
                <w:sz w:val="24"/>
                <w:szCs w:val="24"/>
              </w:rPr>
              <w:t>”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ЕООД да подаде</w:t>
            </w:r>
            <w:r w:rsidR="00642583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чрез НИСО</w:t>
            </w:r>
            <w:r w:rsidR="008F51EA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аявление за издаване на 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разрешение за дейности с отпадъци </w:t>
            </w:r>
            <w:r w:rsidR="008F51EA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Директора на РИОСВ –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Пловдив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Всички дейности по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реализирането и последващата експлоатация на инвестиционното предложение, ще се извършват пряко на гореупоменатия имот, без да са необходими допълнителни площи.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Други дейности не са необходими.</w:t>
            </w:r>
          </w:p>
          <w:p w:rsidR="00866C74" w:rsidRPr="001373CF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4. Местоположение:</w:t>
            </w:r>
          </w:p>
          <w:p w:rsidR="00866C74" w:rsidRPr="001373CF" w:rsidRDefault="00866C74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iCs/>
                <w:color w:val="333333"/>
                <w:sz w:val="20"/>
                <w:szCs w:val="20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0C1B19" w:rsidRPr="001373CF" w:rsidRDefault="00FC7F6B" w:rsidP="000C1B19">
            <w:pPr>
              <w:tabs>
                <w:tab w:val="right" w:leader="dot" w:pos="4394"/>
              </w:tabs>
              <w:spacing w:before="57" w:after="100" w:afterAutospacing="1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УРЕГУЛИРАН ПОЗЕМЛЕН ИМОТ, находящ с</w:t>
            </w:r>
            <w:r w:rsidR="000E5758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е (с адрес по КК)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 град Пловдив, община</w:t>
            </w:r>
            <w:r w:rsidR="000E5758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Пловдив, област Пловдив, район Южен, п.к. 4000, улица „Братя Бъкстон“ №</w:t>
            </w:r>
            <w:r w:rsidR="000C1B19" w:rsidRPr="001373CF">
              <w:rPr>
                <w:rFonts w:ascii="Times New Roman" w:eastAsia="SimSun" w:hAnsi="Times New Roman" w:cs="Times New Roman"/>
                <w:b/>
                <w:sz w:val="24"/>
                <w:szCs w:val="24"/>
                <w:lang w:val="bg-BG"/>
              </w:rPr>
              <w:t>134,</w:t>
            </w:r>
            <w:r w:rsidR="000C1B19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Съставляващ по КК и КР на град Пловдив, одобрени със Заповед № РД-18-48/03.06.2009г. на ИД на АГКК -</w:t>
            </w:r>
            <w:r w:rsidR="008F51EA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Пловдив, УПИ с идентификатор №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56784 . 536 . 781 , производствен складов обект с площ от 387 кв.м., заедно с изградените</w:t>
            </w:r>
            <w:r w:rsidR="000E5758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 имота сгради с идентификатор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№ 56784 . </w:t>
            </w:r>
            <w:r w:rsidR="000E5758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536 . 781.1  и с идентификатор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№ 56784 . 536 . 781.2.  Имотът не попада в границите на защитени територии и защитени зони от Европейската</w:t>
            </w:r>
            <w:r w:rsidR="00642583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екологична мрежа „Натура 2000“,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попада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границите на Защитени зони по смисъла на Закона за биологичното разнообразие /обн. ДВ бр. 77 от 09.08.2002 </w:t>
            </w:r>
            <w:proofErr w:type="gramStart"/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г.,</w:t>
            </w:r>
            <w:proofErr w:type="gramEnd"/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изм. ДВ бр. 98 от 27.11.2018 г</w:t>
            </w:r>
            <w:proofErr w:type="gramStart"/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gramEnd"/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E5758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Най</w:t>
            </w:r>
            <w:r w:rsidR="000E5758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E5758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близко разположената Защитена зона от Европейската екологична мрежа Натура 2000 е: „Река Марица“, с код BG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0000578.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Защитената зона е тип B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Защитена зона по Директива 92/43/ЕЕС за опазване на природните местообитания и на дивата флора и фауна.</w:t>
            </w:r>
            <w:r w:rsidR="005910DF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Предвид местоположението, характера и мащаба на инвестиционното предложение, извършената преценка за вероятната степен на отрицателно въздействие е, че не се очаква отрицателно</w:t>
            </w:r>
            <w:r w:rsidR="005910DF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въздействие върху Защитените зони.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 се засягат обекти, подлежащи на здравна защита, както и обекти на културното наследство.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Реализацията и последващата експлоатация на инвестиционното предложение е с локален характер и няма да окаже трансгранично въздействие.</w:t>
            </w:r>
            <w:r w:rsidR="005910DF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По време на експлоатацията на обекта не се очакват отклонения в качеството на ландшафта</w:t>
            </w:r>
            <w:r w:rsidR="005910DF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в района. В близост до имота предмет на ИП няма данни за наличието на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обекти с историческа, културна или археологическа стойност.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нвестиционното предложение не попада в границите на санитарно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охранителни зони или територии</w:t>
            </w:r>
            <w:r w:rsidR="00B57F2D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зони и обекти със специфичен санитарен статус</w:t>
            </w:r>
            <w:r w:rsidR="00B57F2D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подлежащи на здравна защита. Най- близките санитарно –</w:t>
            </w:r>
            <w:r w:rsidR="005910DF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охранителни зони са около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водовземни съоръжения на питейно-битово водоснабдяване на</w:t>
            </w:r>
            <w:r w:rsidR="005910DF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близките населени места.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Същите остават на отстояние от имота, който не попада в обхвата на зони I на СОЗ. С реализацията на ИП се цели предотвратяване, намаляване и ограничаване на вредното въздействие на отпадъците върху човешкото здраве и околната среда, и предаване на отпадъците и компонентите от тях за повторна употреба и последващо рециклиране. </w:t>
            </w:r>
          </w:p>
          <w:p w:rsidR="00866C74" w:rsidRPr="001373CF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5910DF" w:rsidRPr="001373CF" w:rsidRDefault="00866C74" w:rsidP="0042024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iCs/>
                <w:color w:val="333333"/>
                <w:sz w:val="18"/>
                <w:szCs w:val="18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        </w:t>
            </w:r>
          </w:p>
          <w:p w:rsidR="00123901" w:rsidRPr="001373CF" w:rsidRDefault="00FC7F6B" w:rsidP="002240F5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На територията </w:t>
            </w:r>
            <w:proofErr w:type="gramStart"/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на  площадката</w:t>
            </w:r>
            <w:proofErr w:type="gramEnd"/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не се предвижда използването на производствени води.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тпадните води, кои</w:t>
            </w:r>
            <w:r w:rsidR="00B57F2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 ще се генерират са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битов</w:t>
            </w:r>
            <w:r w:rsidR="00B57F2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– фекални. Тези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отпадни води ще се отвеждат в канализационната система на град Пловдив. Природните ресурси предвидени по време на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изграждането и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експлоатацията са вода за питейно – битови нужди, която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ще се осигурява на база сключен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на наемодателя </w:t>
            </w:r>
            <w:proofErr w:type="gramStart"/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  ВиК</w:t>
            </w:r>
            <w:proofErr w:type="gramEnd"/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Дружеството за доставка на питейна вода за битови нужди.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Дейността не е свързана с използване на производствени води,  не се предвижда изграждане на собствен водоизточник-сондажен кладенец.</w:t>
            </w:r>
            <w:r w:rsidR="002240F5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B34810"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Предвид характера на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инвестиционното  предложение,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осъществяването му няма да повлияе върху качеството и регенеративната способност на природните ресурси. Компонентите на околната среда в района няма да бъдат подложени на негативни въздействия, предизвикващи наднорменото им замърсяване. Инвестиционния проект е съобразен и с наличието на инфраструкторните мрежи и връзки в района.</w:t>
            </w:r>
          </w:p>
          <w:p w:rsidR="002240F5" w:rsidRPr="001373CF" w:rsidRDefault="00866C74" w:rsidP="0042024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6. Очаквани вещества, които ще бъдат емитирани от дейността, в т.ч. приоритетни и/или опасни, при които се осъществява</w:t>
            </w:r>
            <w:r w:rsidR="0042024E"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или е възможен контакт с води:</w:t>
            </w:r>
          </w:p>
          <w:p w:rsidR="000C1B19" w:rsidRPr="001373CF" w:rsidRDefault="000C1B19" w:rsidP="000C1B19">
            <w:pPr>
              <w:tabs>
                <w:tab w:val="num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смеси, не се очаква формиране на замърсени дъждовни води. Дъждовните отпадни води са условно чисти и се</w:t>
            </w:r>
            <w:r w:rsidR="00BD203E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оттичат в зелените площи на площадката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 шахтите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2024E" w:rsidRPr="001373CF" w:rsidRDefault="00866C74" w:rsidP="0042024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7. Очаквани общи емисии на вредни вещества във въздуха по замърсители:</w:t>
            </w:r>
          </w:p>
          <w:p w:rsidR="000C1B19" w:rsidRPr="001373CF" w:rsidRDefault="00FC7F6B" w:rsidP="0042024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Очаква се при дейностите рязане-разделяне на метала от керамичното тяло </w:t>
            </w:r>
            <w:r w:rsidR="000C1B19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и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смилане на керамични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я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монолит да се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отделят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прахови емисии. За целта приозводственото помещение, където ще се извършват тези дейности ще се оборудва със стационарна прахоулавяща система</w:t>
            </w:r>
            <w:r w:rsidR="000C1B19"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 xml:space="preserve">.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се предвижда отделяне на вредни емисии в атмосферния въздух. При реализация на ИП не се предвижда експлоатация на горивен или </w:t>
            </w:r>
            <w:proofErr w:type="gramStart"/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друг  източник</w:t>
            </w:r>
            <w:proofErr w:type="gramEnd"/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емисии в атмосферния въздух. Отоплението ще се извършва с електрически уреди.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Може да се получи незначително запрашяване на атмосферния въздух при товаро – разтоварните дейности на обекта.</w:t>
            </w:r>
          </w:p>
          <w:p w:rsidR="00D57756" w:rsidRPr="001373CF" w:rsidRDefault="00866C74" w:rsidP="00D5775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8. Отпадъци, които се очаква да се генерират, и предвиждания за тяхното третиране:</w:t>
            </w:r>
            <w:r w:rsidR="00BD203E"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 xml:space="preserve">          </w:t>
            </w:r>
            <w:r w:rsidR="000C1B19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Както по време на обособяване на терена като производствена площадка, така и по време на</w:t>
            </w:r>
            <w:r w:rsidR="00BD203E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C1B19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експлоатацията му като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„Площадка за </w:t>
            </w:r>
            <w:r w:rsidR="000C1B19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подготовка преди оползотворяване  </w:t>
            </w:r>
            <w:r w:rsidR="00D57756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отпадъ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ци“</w:t>
            </w:r>
            <w:r w:rsidR="00D57756"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 xml:space="preserve">      </w:t>
            </w:r>
          </w:p>
          <w:p w:rsidR="000C1B19" w:rsidRPr="001373CF" w:rsidRDefault="000C1B19" w:rsidP="00D5775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 извършване на СМР:</w:t>
            </w:r>
          </w:p>
          <w:p w:rsidR="000C1B19" w:rsidRPr="001373CF" w:rsidRDefault="000C1B19" w:rsidP="000C1B1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се очаква генериране на строителни отпадъци, няма да </w:t>
            </w: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се  извършват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мащабни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строителни операции. Възможни са само монтажни дейности, свързани с оборудване на производственото помещение с необходимите съоръжения за механично третиране на отработени автомобилни катализатори.</w:t>
            </w:r>
          </w:p>
          <w:p w:rsidR="00D57756" w:rsidRPr="001373CF" w:rsidRDefault="000C1B19" w:rsidP="00D577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След реализиране на настоящото ИП: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7756" w:rsidRPr="001373CF" w:rsidRDefault="000C1B19" w:rsidP="00D577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Битови отпадъци с код 20 03 01- от административно битовата дейност на обслужваащия персонал</w:t>
            </w:r>
            <w:r w:rsidR="00C1611A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- ще се събират на обособено за целта място и ще се предават на сметосъбиращата фирма в Община Пловдив.</w:t>
            </w:r>
          </w:p>
          <w:p w:rsidR="00D57756" w:rsidRPr="001373CF" w:rsidRDefault="000C1B19" w:rsidP="00D577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Производствени отпадъци:</w:t>
            </w:r>
          </w:p>
          <w:p w:rsidR="0042024E" w:rsidRPr="001373CF" w:rsidRDefault="00336E9F" w:rsidP="00F55F1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19 12 02</w:t>
            </w:r>
            <w:r w:rsidR="00C1611A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C1B19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Черни метали</w:t>
            </w:r>
            <w:r w:rsidR="00C1611A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и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19 12 03</w:t>
            </w:r>
            <w:r w:rsidR="00C1611A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C1611A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1611A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Цветнини метали</w:t>
            </w:r>
            <w:r w:rsidR="00C1611A" w:rsidRPr="001373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железни парчета отделени при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дейност</w:t>
            </w:r>
            <w:r w:rsidR="00C1611A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та</w:t>
            </w:r>
            <w:r w:rsidR="000C1B19" w:rsidRPr="001373C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 xml:space="preserve">механично третиране: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рязане </w:t>
            </w:r>
            <w:r w:rsidR="000C1B19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разделяне на метала от керамичното тяло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D57756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F55F18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19 12 12</w:t>
            </w:r>
            <w:r w:rsidR="000C1B19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- </w:t>
            </w:r>
            <w:r w:rsidR="00F55F18" w:rsidRPr="001373C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shd w:val="clear" w:color="auto" w:fill="000000"/>
              </w:rPr>
              <w:t>други отпадъци (включително смеси от материали) от механично третиране на отпадъци, различни от упоменатите в 19 12 11</w:t>
            </w:r>
            <w:r w:rsidR="00F55F18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, </w:t>
            </w:r>
            <w:r w:rsidR="000C1B19" w:rsidRPr="00137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 при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дейност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0C1B19" w:rsidRPr="001373C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 w:bidi="as-IN"/>
              </w:rPr>
              <w:t>механично третиране:</w:t>
            </w:r>
            <w:r w:rsidR="000C1B19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 w:bidi="as-IN"/>
              </w:rPr>
              <w:t xml:space="preserve"> смилане и хомогенизиране</w:t>
            </w:r>
            <w:r w:rsidR="00C1611A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 w:bidi="as-IN"/>
              </w:rPr>
              <w:t xml:space="preserve"> на</w:t>
            </w:r>
            <w:r w:rsidR="000C1B19"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 w:bidi="as-IN"/>
              </w:rPr>
              <w:t xml:space="preserve"> 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керамичното тяло</w:t>
            </w:r>
            <w:r w:rsidR="000C1B1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D57756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Нужно е да се отбележи, че керамичният монолит от отработен</w:t>
            </w:r>
            <w:r w:rsidR="00BD203E" w:rsidRPr="001373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 автомобилни катализатори не</w:t>
            </w:r>
            <w:r w:rsidR="00D57756" w:rsidRPr="001373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  <w:t xml:space="preserve"> е</w:t>
            </w:r>
            <w:r w:rsidR="00BD203E" w:rsidRPr="001373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C1B19" w:rsidRPr="001373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опасен отпадък и се намира в зеления списък за отпадъци, подлежащи на оползотворяване съгласно</w:t>
            </w:r>
            <w:r w:rsidR="00BD203E" w:rsidRPr="001373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  <w:t xml:space="preserve"> </w:t>
            </w:r>
            <w:r w:rsidR="000C1B19" w:rsidRPr="001373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Базелската конвенция.</w:t>
            </w:r>
            <w:r w:rsidR="0042024E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C1B19" w:rsidRPr="001373CF" w:rsidRDefault="000C1B19" w:rsidP="0096219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Дружеството ще проведе процедура за класификация на отпадъците по реда на </w:t>
            </w:r>
            <w:r w:rsidRPr="0013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Наредба № 2 от 23 юли 2014 г. за класификация на отпадъците /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Обн. ДВ. </w:t>
            </w:r>
            <w:proofErr w:type="gramStart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бр.66</w:t>
            </w:r>
            <w:proofErr w:type="gramEnd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 от 8 Август 2014г., изм. </w:t>
            </w:r>
            <w:proofErr w:type="gramStart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</w:t>
            </w:r>
            <w:proofErr w:type="gramEnd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доп. .....</w:t>
            </w:r>
            <w:r w:rsidR="00D57756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gramStart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посл</w:t>
            </w:r>
            <w:proofErr w:type="gramEnd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 </w:t>
            </w:r>
            <w:proofErr w:type="gramStart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изм</w:t>
            </w:r>
            <w:proofErr w:type="gramEnd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</w:t>
            </w:r>
            <w:proofErr w:type="gramStart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</w:t>
            </w:r>
            <w:proofErr w:type="gramEnd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доп. ДВ. </w:t>
            </w:r>
            <w:proofErr w:type="gramStart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бр.86</w:t>
            </w:r>
            <w:proofErr w:type="gramEnd"/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от 6 Октомври 2020г./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, като през  НИСО</w:t>
            </w:r>
            <w:r w:rsidR="00D57756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57756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попълни работни листове</w:t>
            </w:r>
            <w:r w:rsidR="00D57756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за класификация на отпадъците по приложение № 5, към чл. 7, ал. 1, т.1 от цитираната наредба и ги предостави за  съгласуването им от страна на Директора на РИОСВ-Пловдив.</w:t>
            </w:r>
            <w:r w:rsidR="004771C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Всички отпадъци ще се съхраняват разделно, в зависимост от техния вид, произход и състав, в съдове за съхранение на отпадъци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 </w:t>
            </w:r>
            <w:r w:rsidRPr="0013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индустриални чували тип „Биг Бег“,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обозначени с табели, съдържащи съответния код и наименование на отпадъка, съгласно Наредба № 2 за класификация на отпадъците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като ще се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вземат  всички мерки за недопускане на смесването   помежду им, както  и на опасни с неопасни такива.</w:t>
            </w:r>
            <w:r w:rsidR="0096219D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 натрупване на определени количества, отпадъците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ще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се предават за последващо третиране, рециклиране, оползотворяване и/или обезвреждане на фирми, притежаващи съответните мощности и разрешение, съгласно Закона за управление на отпадъците</w:t>
            </w:r>
            <w:r w:rsidR="004771C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Предаването за последващо третиране на отпадъците,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ще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="0096219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извършва само въз основа на писмен договор с лица, притежаващи необходимите документ по чл. 35 от ЗУО за отпадъци със съответния код, съгласно наредбата по чл. 3 от ЗУО, както следва:</w:t>
            </w:r>
          </w:p>
          <w:p w:rsidR="000C1B19" w:rsidRPr="001373CF" w:rsidRDefault="000C1B19" w:rsidP="000C1B19">
            <w:pPr>
              <w:numPr>
                <w:ilvl w:val="0"/>
                <w:numId w:val="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комплексно разрешително за дейности с отпадъци по чл. 35, ал. 1 от ЗУО;</w:t>
            </w:r>
          </w:p>
          <w:p w:rsidR="000C1B19" w:rsidRPr="001373CF" w:rsidRDefault="000C1B19" w:rsidP="000C1B19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регистрационен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 за дейности с отпадъци по чл. 35, ал. 2, т. 3-5 от ЗУО; </w:t>
            </w:r>
          </w:p>
          <w:p w:rsidR="000C1B19" w:rsidRPr="001373CF" w:rsidRDefault="000C1B19" w:rsidP="000C1B19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регистрационен документ за събиране и транспортиране на отпадъци или регистрация за </w:t>
            </w:r>
          </w:p>
          <w:p w:rsidR="000C1B19" w:rsidRPr="001373CF" w:rsidRDefault="000C1B19" w:rsidP="000C1B19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дейност като търговец или брокер, когато същите имат сключен договор с лица, </w:t>
            </w:r>
          </w:p>
          <w:p w:rsidR="000C1B19" w:rsidRPr="001373CF" w:rsidRDefault="000C1B19" w:rsidP="000C1B19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</w:t>
            </w:r>
            <w:proofErr w:type="gramStart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притежаващи</w:t>
            </w:r>
            <w:proofErr w:type="gramEnd"/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разрешителен или регистрационен документ по чл. 35, ал. 1, съответно по </w:t>
            </w:r>
            <w:r w:rsidR="00F560A4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чл. 35, ал. 2, т. 3-5 от ЗУО.</w:t>
            </w:r>
          </w:p>
          <w:p w:rsidR="00123901" w:rsidRPr="001373CF" w:rsidRDefault="000C1B19" w:rsidP="00477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Отчетността ще се извършва чрез Националната Информационна Система за Отпадъци</w:t>
            </w:r>
            <w:r w:rsidR="004771C9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="0096219D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НИСО/ </w:t>
            </w:r>
            <w:r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съответствие с изискванията на  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Наредба № 1 от 4 юни 2014 г. за реда и образците, по</w:t>
            </w:r>
            <w:r w:rsidR="0042024E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3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които се предоставя информация за дейностите по отпадъците, както и реда за водене на публични регистри</w:t>
            </w:r>
            <w:r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  <w:p w:rsidR="00866C74" w:rsidRPr="001373CF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9. Отпадъчни води:</w:t>
            </w:r>
          </w:p>
          <w:p w:rsidR="00866C74" w:rsidRPr="001373CF" w:rsidRDefault="00866C74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iCs/>
                <w:color w:val="333333"/>
                <w:sz w:val="18"/>
                <w:szCs w:val="18"/>
              </w:rPr>
              <w:t>(</w:t>
            </w:r>
            <w:proofErr w:type="gramStart"/>
            <w:r w:rsidRPr="001373CF">
              <w:rPr>
                <w:rFonts w:ascii="Times New Roman" w:eastAsia="Times New Roman" w:hAnsi="Times New Roman" w:cs="Times New Roman"/>
                <w:b/>
                <w:iCs/>
                <w:color w:val="333333"/>
                <w:sz w:val="18"/>
                <w:szCs w:val="18"/>
              </w:rPr>
              <w:t>очаквано</w:t>
            </w:r>
            <w:proofErr w:type="gramEnd"/>
            <w:r w:rsidRPr="001373CF">
              <w:rPr>
                <w:rFonts w:ascii="Times New Roman" w:eastAsia="Times New Roman" w:hAnsi="Times New Roman" w:cs="Times New Roman"/>
                <w:b/>
                <w:iCs/>
                <w:color w:val="333333"/>
                <w:sz w:val="18"/>
                <w:szCs w:val="18"/>
              </w:rPr>
              <w:t xml:space="preserve">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F560A4" w:rsidRPr="001373CF" w:rsidRDefault="000C1B19" w:rsidP="00F55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Изграждането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последваща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експлоатация на площадката не е свързано с формирането на отпадъчни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производствени</w:t>
            </w:r>
            <w:r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</w:t>
            </w:r>
            <w:r w:rsidR="00F560A4" w:rsidRPr="0013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оди.</w:t>
            </w: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F560A4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 площадката</w:t>
            </w:r>
            <w:r w:rsidR="00F560A4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ще</w:t>
            </w:r>
            <w:r w:rsidR="00F560A4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се </w:t>
            </w:r>
            <w:r w:rsidR="00F560A4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генерират</w:t>
            </w:r>
            <w:r w:rsidR="00F560A4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битово –</w:t>
            </w:r>
            <w:r w:rsidR="00F560A4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F560A4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фекални води. Посредством съществуваща</w:t>
            </w:r>
            <w:r w:rsidR="00F560A4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та</w:t>
            </w:r>
            <w:r w:rsidR="00F560A4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канализационна система</w:t>
            </w:r>
            <w:r w:rsidR="00F560A4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,</w:t>
            </w:r>
            <w:r w:rsidR="00F560A4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ще се заустват в канализационата система на гр.</w:t>
            </w:r>
            <w:r w:rsidR="00F560A4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F560A4" w:rsidRPr="0013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Пловдив.</w:t>
            </w:r>
          </w:p>
          <w:p w:rsidR="00866C74" w:rsidRPr="001373CF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866C74" w:rsidRPr="001373CF" w:rsidRDefault="00866C74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(в случаите по </w:t>
            </w:r>
            <w:hyperlink r:id="rId8" w:tgtFrame="_blank" w:history="1">
              <w:r w:rsidRPr="001373CF">
                <w:rPr>
                  <w:rFonts w:ascii="Times New Roman" w:eastAsia="Times New Roman" w:hAnsi="Times New Roman" w:cs="Times New Roman"/>
                  <w:b/>
                  <w:bCs/>
                  <w:iCs/>
                  <w:sz w:val="18"/>
                  <w:szCs w:val="18"/>
                </w:rPr>
                <w:t>чл. 99б от ЗООС</w:t>
              </w:r>
            </w:hyperlink>
            <w:r w:rsidRPr="001373C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се представя информация за вида и количеството на опасните вещества, които ще са налични в предприятието/съоръжението съгласно </w:t>
            </w:r>
            <w:hyperlink w:history="1">
              <w:r w:rsidRPr="001373CF">
                <w:rPr>
                  <w:rFonts w:ascii="Times New Roman" w:eastAsia="Times New Roman" w:hAnsi="Times New Roman" w:cs="Times New Roman"/>
                  <w:b/>
                  <w:bCs/>
                  <w:iCs/>
                  <w:sz w:val="18"/>
                  <w:szCs w:val="18"/>
                </w:rPr>
                <w:t>приложение № 1</w:t>
              </w:r>
            </w:hyperlink>
            <w:r w:rsidRPr="001373C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към Наредбата за предотвратяване на големи аварии и ограничаване на последствията от тях)</w:t>
            </w:r>
          </w:p>
          <w:p w:rsidR="003535C4" w:rsidRPr="001373CF" w:rsidRDefault="001373CF" w:rsidP="003535C4">
            <w:pPr>
              <w:spacing w:before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</w:t>
            </w:r>
            <w:r w:rsidR="003535C4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смеси, не се очаква формиране на замърсени дъждовни води</w:t>
            </w:r>
            <w:r w:rsidR="003535C4" w:rsidRPr="001373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3535C4" w:rsidRPr="0013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 xml:space="preserve">І. Моля да ни информирате за необходимите действия, които трябва да предприемем, по реда на </w:t>
            </w:r>
            <w:hyperlink r:id="rId9" w:tgtFrame="_blank" w:history="1">
              <w:r w:rsidRPr="001373CF">
                <w:rPr>
                  <w:rFonts w:ascii="Times New Roman" w:eastAsia="Times New Roman" w:hAnsi="Times New Roman" w:cs="Times New Roman"/>
                  <w:b/>
                  <w:bCs/>
                  <w:u w:val="single"/>
                </w:rPr>
                <w:t>глава шеста от ЗООС</w:t>
              </w:r>
            </w:hyperlink>
            <w:r w:rsidRPr="001373CF">
              <w:rPr>
                <w:rFonts w:ascii="Times New Roman" w:eastAsia="Times New Roman" w:hAnsi="Times New Roman" w:cs="Times New Roman"/>
                <w:b/>
                <w:u w:val="single"/>
              </w:rPr>
              <w:t>.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1373CF">
              <w:rPr>
                <w:rFonts w:ascii="Times New Roman" w:eastAsia="Times New Roman" w:hAnsi="Times New Roman" w:cs="Times New Roman"/>
                <w:b/>
              </w:rPr>
              <w:t xml:space="preserve">Моля на основание </w:t>
            </w:r>
            <w:hyperlink r:id="rId10" w:tgtFrame="_blank" w:history="1">
              <w:r w:rsidRPr="001373CF">
                <w:rPr>
                  <w:rFonts w:ascii="Times New Roman" w:eastAsia="Times New Roman" w:hAnsi="Times New Roman" w:cs="Times New Roman"/>
                  <w:b/>
                  <w:bCs/>
                </w:rPr>
                <w:t>чл. 93, ал. 9, т. 1 от ЗООС</w:t>
              </w:r>
            </w:hyperlink>
            <w:r w:rsidRPr="001373CF">
              <w:rPr>
                <w:rFonts w:ascii="Times New Roman" w:eastAsia="Times New Roman" w:hAnsi="Times New Roman" w:cs="Times New Roman"/>
                <w:b/>
              </w:rPr>
              <w:t xml:space="preserve"> да се проведе задължителна ОВОС, без да се извършва преценка.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1373CF">
              <w:rPr>
                <w:rFonts w:ascii="Times New Roman" w:eastAsia="Times New Roman" w:hAnsi="Times New Roman" w:cs="Times New Roman"/>
                <w:b/>
              </w:rPr>
              <w:t xml:space="preserve">Моля, на основание </w:t>
            </w:r>
            <w:hyperlink r:id="rId11" w:tgtFrame="_blank" w:history="1">
              <w:r w:rsidRPr="001373CF">
                <w:rPr>
                  <w:rFonts w:ascii="Times New Roman" w:eastAsia="Times New Roman" w:hAnsi="Times New Roman" w:cs="Times New Roman"/>
                  <w:b/>
                  <w:bCs/>
                </w:rPr>
                <w:t>чл. 94, ал. 1, т. 9 от ЗООС</w:t>
              </w:r>
            </w:hyperlink>
            <w:r w:rsidRPr="001373CF">
              <w:rPr>
                <w:rFonts w:ascii="Times New Roman" w:eastAsia="Times New Roman" w:hAnsi="Times New Roman" w:cs="Times New Roman"/>
                <w:b/>
              </w:rPr>
              <w:t xml:space="preserve"> да се проведе процедура по ОВОС и/или процедурата по </w:t>
            </w:r>
            <w:hyperlink r:id="rId12" w:tgtFrame="_blank" w:history="1">
              <w:r w:rsidRPr="001373CF">
                <w:rPr>
                  <w:rFonts w:ascii="Times New Roman" w:eastAsia="Times New Roman" w:hAnsi="Times New Roman" w:cs="Times New Roman"/>
                  <w:b/>
                  <w:bCs/>
                </w:rPr>
                <w:t>чл. 109, ал. 1 или 2</w:t>
              </w:r>
            </w:hyperlink>
            <w:r w:rsidRPr="001373CF">
              <w:rPr>
                <w:rFonts w:ascii="Times New Roman" w:eastAsia="Times New Roman" w:hAnsi="Times New Roman" w:cs="Times New Roman"/>
                <w:b/>
              </w:rPr>
              <w:t xml:space="preserve"> или по </w:t>
            </w:r>
            <w:hyperlink r:id="rId13" w:tgtFrame="_blank" w:history="1">
              <w:r w:rsidRPr="001373CF">
                <w:rPr>
                  <w:rFonts w:ascii="Times New Roman" w:eastAsia="Times New Roman" w:hAnsi="Times New Roman" w:cs="Times New Roman"/>
                  <w:b/>
                  <w:bCs/>
                </w:rPr>
                <w:t>чл. 117, ал. 1 или 2 от ЗООС</w:t>
              </w:r>
            </w:hyperlink>
            <w:r w:rsidRPr="001373CF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1373CF">
              <w:rPr>
                <w:rFonts w:ascii="Times New Roman" w:eastAsia="Times New Roman" w:hAnsi="Times New Roman" w:cs="Times New Roman"/>
                <w:b/>
              </w:rPr>
              <w:t>ІІ. Друга информация (не е задължително за попълване)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1373CF">
              <w:rPr>
                <w:rFonts w:ascii="Times New Roman" w:eastAsia="Times New Roman" w:hAnsi="Times New Roman" w:cs="Times New Roman"/>
                <w:b/>
              </w:rPr>
              <w:t xml:space="preserve">Моля да бъде допуснато извършването само на ОВОС (в случаите по </w:t>
            </w:r>
            <w:hyperlink r:id="rId14" w:tgtFrame="_blank" w:history="1">
              <w:r w:rsidRPr="001373CF">
                <w:rPr>
                  <w:rFonts w:ascii="Times New Roman" w:eastAsia="Times New Roman" w:hAnsi="Times New Roman" w:cs="Times New Roman"/>
                  <w:b/>
                  <w:bCs/>
                </w:rPr>
                <w:t>чл. 91, ал. 2 от ЗООС</w:t>
              </w:r>
            </w:hyperlink>
            <w:r w:rsidRPr="001373CF">
              <w:rPr>
                <w:rFonts w:ascii="Times New Roman" w:eastAsia="Times New Roman" w:hAnsi="Times New Roman" w:cs="Times New Roman"/>
                <w:b/>
              </w:rPr>
              <w:t xml:space="preserve">, когато за инвестиционно предложение, включено в </w:t>
            </w:r>
            <w:hyperlink r:id="rId15" w:tgtFrame="_blank" w:history="1">
              <w:r w:rsidRPr="001373CF">
                <w:rPr>
                  <w:rFonts w:ascii="Times New Roman" w:eastAsia="Times New Roman" w:hAnsi="Times New Roman" w:cs="Times New Roman"/>
                  <w:b/>
                  <w:bCs/>
                </w:rPr>
                <w:t>приложение № 1</w:t>
              </w:r>
            </w:hyperlink>
            <w:r w:rsidRPr="001373CF">
              <w:rPr>
                <w:rFonts w:ascii="Times New Roman" w:eastAsia="Times New Roman" w:hAnsi="Times New Roman" w:cs="Times New Roman"/>
                <w:b/>
              </w:rPr>
              <w:t xml:space="preserve"> или в </w:t>
            </w:r>
            <w:hyperlink r:id="rId16" w:tgtFrame="_blank" w:history="1">
              <w:r w:rsidRPr="001373CF">
                <w:rPr>
                  <w:rFonts w:ascii="Times New Roman" w:eastAsia="Times New Roman" w:hAnsi="Times New Roman" w:cs="Times New Roman"/>
                  <w:b/>
                  <w:bCs/>
                </w:rPr>
                <w:t>приложение № 2 към ЗООС</w:t>
              </w:r>
            </w:hyperlink>
            <w:r w:rsidRPr="001373CF">
              <w:rPr>
                <w:rFonts w:ascii="Times New Roman" w:eastAsia="Times New Roman" w:hAnsi="Times New Roman" w:cs="Times New Roman"/>
                <w:b/>
              </w:rPr>
              <w:t xml:space="preserve">, се изисква и изготвянето на самостоятелен план или програма по </w:t>
            </w:r>
            <w:hyperlink r:id="rId17" w:tgtFrame="_blank" w:history="1">
              <w:r w:rsidRPr="001373CF">
                <w:rPr>
                  <w:rFonts w:ascii="Times New Roman" w:eastAsia="Times New Roman" w:hAnsi="Times New Roman" w:cs="Times New Roman"/>
                  <w:b/>
                  <w:bCs/>
                </w:rPr>
                <w:t>чл. 85, ал. 1 и 2 от ЗООС</w:t>
              </w:r>
            </w:hyperlink>
            <w:r w:rsidRPr="001373CF">
              <w:rPr>
                <w:rFonts w:ascii="Times New Roman" w:eastAsia="Times New Roman" w:hAnsi="Times New Roman" w:cs="Times New Roman"/>
                <w:b/>
              </w:rPr>
              <w:t>) поради следните основания (мотиви):</w:t>
            </w:r>
          </w:p>
          <w:p w:rsidR="00866C74" w:rsidRPr="001373CF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</w:pPr>
            <w:r w:rsidRPr="001373CF">
              <w:rPr>
                <w:rFonts w:ascii="Times New Roman" w:eastAsia="Times New Roman" w:hAnsi="Times New Roman" w:cs="Times New Roman"/>
                <w:b/>
              </w:rPr>
              <w:t>…………………………………</w:t>
            </w: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……………………………………………………………………</w:t>
            </w:r>
            <w:r w:rsidR="003631B1"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……………</w:t>
            </w:r>
          </w:p>
          <w:p w:rsidR="00866C74" w:rsidRPr="001373CF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3631B1" w:rsidRPr="001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………….</w:t>
            </w:r>
          </w:p>
          <w:p w:rsidR="00866C74" w:rsidRPr="001373CF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Прилагам: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</w:t>
            </w:r>
            <w:hyperlink r:id="rId18" w:tgtFrame="_blank" w:history="1">
              <w:r w:rsidRPr="001373CF">
                <w:rPr>
                  <w:rFonts w:ascii="Times New Roman" w:eastAsia="Times New Roman" w:hAnsi="Times New Roman" w:cs="Times New Roman"/>
                  <w:b/>
                  <w:bCs/>
                </w:rPr>
                <w:t>чл. 95, ал. 1 от ЗООС</w:t>
              </w:r>
            </w:hyperlink>
            <w:r w:rsidRPr="001373CF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3. Други документи по преценка на уведомителя: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lastRenderedPageBreak/>
              <w:t>3.1. допълнителна информация/документация, поясняваща инвестиционното предложение;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 xml:space="preserve">3.2. </w:t>
            </w:r>
            <w:proofErr w:type="gramStart"/>
            <w:r w:rsidRPr="001373CF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картен</w:t>
            </w:r>
            <w:proofErr w:type="gramEnd"/>
            <w:r w:rsidRPr="001373CF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 xml:space="preserve"> материал, схема, снимков материал в подходящ мащаб.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4. Електронен носител - 1 бр.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5. Желая писмото за определяне на необходимите действия да бъде издадено в електронна форма и изпратено на посочения адрес на електронна поща.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6. Желая да получавам електронна кореспонденция във връзка с предоставяната услуга на посочения от мен адрес на електронна поща.</w:t>
            </w:r>
          </w:p>
          <w:p w:rsidR="00866C74" w:rsidRPr="001373CF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1373CF">
              <w:rPr>
                <w:rFonts w:ascii="Times New Roman" w:eastAsia="Times New Roman" w:hAnsi="Times New Roman" w:cs="Times New Roman"/>
                <w:b/>
                <w:color w:val="333333"/>
              </w:rPr>
              <w:t>7. Желая писмото за определяне на необходимите действия да бъде получено чрез лицензиран пощенски оператор.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8"/>
            </w:tblGrid>
            <w:tr w:rsidR="00866C74" w:rsidRPr="001373CF">
              <w:tc>
                <w:tcPr>
                  <w:tcW w:w="101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4D8E" w:rsidRPr="001373CF" w:rsidRDefault="00AD4D8E" w:rsidP="00501D86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bg-BG"/>
                    </w:rPr>
                  </w:pPr>
                </w:p>
                <w:p w:rsidR="00866C74" w:rsidRPr="001373CF" w:rsidRDefault="00866C74" w:rsidP="003535C4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333333"/>
                    </w:rPr>
                  </w:pPr>
                  <w:r w:rsidRPr="001373CF">
                    <w:rPr>
                      <w:rFonts w:ascii="Times New Roman" w:eastAsia="Times New Roman" w:hAnsi="Times New Roman" w:cs="Times New Roman"/>
                      <w:b/>
                      <w:color w:val="333333"/>
                    </w:rPr>
                    <w:t xml:space="preserve">Дата: </w:t>
                  </w:r>
                  <w:r w:rsidR="009F4C08" w:rsidRPr="001373CF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bg-BG"/>
                    </w:rPr>
                    <w:t>10</w:t>
                  </w:r>
                  <w:r w:rsidR="003535C4" w:rsidRPr="001373CF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bg-BG"/>
                    </w:rPr>
                    <w:t>.10.2022год.</w:t>
                  </w:r>
                  <w:r w:rsidRPr="001373CF">
                    <w:rPr>
                      <w:rFonts w:ascii="Times New Roman" w:eastAsia="Times New Roman" w:hAnsi="Times New Roman" w:cs="Times New Roman"/>
                      <w:b/>
                      <w:color w:val="333333"/>
                    </w:rPr>
                    <w:t xml:space="preserve"> </w:t>
                  </w:r>
                  <w:r w:rsidR="003631B1" w:rsidRPr="001373CF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bg-BG"/>
                    </w:rPr>
                    <w:t xml:space="preserve">                                               </w:t>
                  </w:r>
                  <w:r w:rsidRPr="001373CF">
                    <w:rPr>
                      <w:rFonts w:ascii="Times New Roman" w:eastAsia="Times New Roman" w:hAnsi="Times New Roman" w:cs="Times New Roman"/>
                      <w:b/>
                      <w:color w:val="333333"/>
                    </w:rPr>
                    <w:t>Уведомител: …………………………</w:t>
                  </w:r>
                </w:p>
              </w:tc>
            </w:tr>
          </w:tbl>
          <w:p w:rsidR="00866C74" w:rsidRPr="001373CF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9915F9" w:rsidRPr="001373CF" w:rsidRDefault="003631B1">
      <w:pPr>
        <w:rPr>
          <w:rFonts w:ascii="Times New Roman" w:hAnsi="Times New Roman" w:cs="Times New Roman"/>
          <w:b/>
          <w:sz w:val="24"/>
          <w:szCs w:val="24"/>
        </w:rPr>
      </w:pPr>
      <w:r w:rsidRPr="001373CF">
        <w:rPr>
          <w:rFonts w:ascii="Times New Roman" w:eastAsia="Times New Roman" w:hAnsi="Times New Roman" w:cs="Times New Roman"/>
          <w:b/>
          <w:i/>
          <w:iCs/>
          <w:color w:val="333333"/>
          <w:lang w:val="bg-BG"/>
        </w:rPr>
        <w:lastRenderedPageBreak/>
        <w:t xml:space="preserve">                                                                                                                         </w:t>
      </w:r>
      <w:r w:rsidRPr="001373CF">
        <w:rPr>
          <w:rFonts w:ascii="Times New Roman" w:eastAsia="Times New Roman" w:hAnsi="Times New Roman" w:cs="Times New Roman"/>
          <w:b/>
          <w:i/>
          <w:iCs/>
          <w:color w:val="333333"/>
        </w:rPr>
        <w:t>(</w:t>
      </w:r>
      <w:proofErr w:type="gramStart"/>
      <w:r w:rsidRPr="001373CF">
        <w:rPr>
          <w:rFonts w:ascii="Times New Roman" w:eastAsia="Times New Roman" w:hAnsi="Times New Roman" w:cs="Times New Roman"/>
          <w:b/>
          <w:i/>
          <w:iCs/>
          <w:color w:val="333333"/>
        </w:rPr>
        <w:t>подпис</w:t>
      </w:r>
      <w:proofErr w:type="gramEnd"/>
      <w:r w:rsidRPr="001373CF">
        <w:rPr>
          <w:rFonts w:ascii="Times New Roman" w:eastAsia="Times New Roman" w:hAnsi="Times New Roman" w:cs="Times New Roman"/>
          <w:b/>
          <w:i/>
          <w:iCs/>
          <w:color w:val="333333"/>
        </w:rPr>
        <w:t>)</w:t>
      </w:r>
    </w:p>
    <w:sectPr w:rsidR="009915F9" w:rsidRPr="001373CF" w:rsidSect="005E5C05">
      <w:pgSz w:w="12240" w:h="15840"/>
      <w:pgMar w:top="426" w:right="1417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005B"/>
    <w:multiLevelType w:val="hybridMultilevel"/>
    <w:tmpl w:val="DF5A27EA"/>
    <w:lvl w:ilvl="0" w:tplc="EB048FB6">
      <w:start w:val="28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F652D"/>
    <w:multiLevelType w:val="hybridMultilevel"/>
    <w:tmpl w:val="F5A66A40"/>
    <w:lvl w:ilvl="0" w:tplc="96A4865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C6053"/>
    <w:multiLevelType w:val="hybridMultilevel"/>
    <w:tmpl w:val="7D06F288"/>
    <w:lvl w:ilvl="0" w:tplc="B1C4229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7201F"/>
    <w:multiLevelType w:val="hybridMultilevel"/>
    <w:tmpl w:val="08C48A78"/>
    <w:lvl w:ilvl="0" w:tplc="825ED66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74F37"/>
    <w:multiLevelType w:val="hybridMultilevel"/>
    <w:tmpl w:val="D2C6946E"/>
    <w:lvl w:ilvl="0" w:tplc="4A785590">
      <w:start w:val="1"/>
      <w:numFmt w:val="bullet"/>
      <w:lvlText w:val="–"/>
      <w:lvlJc w:val="left"/>
      <w:pPr>
        <w:ind w:left="420" w:hanging="360"/>
      </w:pPr>
      <w:rPr>
        <w:rFonts w:ascii="Times New Roman" w:eastAsiaTheme="minorEastAsia" w:hAnsi="Times New Roman" w:cs="Times New Roman" w:hint="default"/>
        <w:i/>
        <w:color w:val="auto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4B72AE2"/>
    <w:multiLevelType w:val="hybridMultilevel"/>
    <w:tmpl w:val="2272C4F4"/>
    <w:lvl w:ilvl="0" w:tplc="C27A5FCA">
      <w:start w:val="28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B6239"/>
    <w:multiLevelType w:val="hybridMultilevel"/>
    <w:tmpl w:val="20FA64C8"/>
    <w:lvl w:ilvl="0" w:tplc="4E3CD24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C0652"/>
    <w:multiLevelType w:val="hybridMultilevel"/>
    <w:tmpl w:val="94CCCCDE"/>
    <w:lvl w:ilvl="0" w:tplc="E816324A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64509"/>
    <w:multiLevelType w:val="hybridMultilevel"/>
    <w:tmpl w:val="67C0C482"/>
    <w:lvl w:ilvl="0" w:tplc="A97EB87E">
      <w:start w:val="16"/>
      <w:numFmt w:val="bullet"/>
      <w:lvlText w:val="–"/>
      <w:lvlJc w:val="left"/>
      <w:pPr>
        <w:ind w:left="420" w:hanging="360"/>
      </w:pPr>
      <w:rPr>
        <w:rFonts w:ascii="Times New Roman" w:eastAsiaTheme="minorEastAsia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74"/>
    <w:rsid w:val="000215E5"/>
    <w:rsid w:val="00052EE1"/>
    <w:rsid w:val="000C09B5"/>
    <w:rsid w:val="000C1B19"/>
    <w:rsid w:val="000E5758"/>
    <w:rsid w:val="000E6FF2"/>
    <w:rsid w:val="001067A5"/>
    <w:rsid w:val="00123901"/>
    <w:rsid w:val="001373CF"/>
    <w:rsid w:val="001947E2"/>
    <w:rsid w:val="0019616D"/>
    <w:rsid w:val="001A2DB4"/>
    <w:rsid w:val="001A4994"/>
    <w:rsid w:val="001A7FA0"/>
    <w:rsid w:val="001F69CD"/>
    <w:rsid w:val="002240F5"/>
    <w:rsid w:val="002A038A"/>
    <w:rsid w:val="0031483D"/>
    <w:rsid w:val="00332B56"/>
    <w:rsid w:val="00336E9F"/>
    <w:rsid w:val="003535C4"/>
    <w:rsid w:val="00353E82"/>
    <w:rsid w:val="003631B1"/>
    <w:rsid w:val="003B6C39"/>
    <w:rsid w:val="003D34E3"/>
    <w:rsid w:val="0042024E"/>
    <w:rsid w:val="004771C9"/>
    <w:rsid w:val="004B33C1"/>
    <w:rsid w:val="004E2C0F"/>
    <w:rsid w:val="004E5CFF"/>
    <w:rsid w:val="00501D86"/>
    <w:rsid w:val="00505C54"/>
    <w:rsid w:val="005503A6"/>
    <w:rsid w:val="005910DF"/>
    <w:rsid w:val="00596808"/>
    <w:rsid w:val="005E5C05"/>
    <w:rsid w:val="00636F81"/>
    <w:rsid w:val="00642583"/>
    <w:rsid w:val="006473B2"/>
    <w:rsid w:val="006C5A1D"/>
    <w:rsid w:val="006F7A4A"/>
    <w:rsid w:val="007056A8"/>
    <w:rsid w:val="0078582D"/>
    <w:rsid w:val="007C14CD"/>
    <w:rsid w:val="007D551A"/>
    <w:rsid w:val="00826B4B"/>
    <w:rsid w:val="00866C74"/>
    <w:rsid w:val="008B51F1"/>
    <w:rsid w:val="008C0F05"/>
    <w:rsid w:val="008F2930"/>
    <w:rsid w:val="008F51EA"/>
    <w:rsid w:val="009110BD"/>
    <w:rsid w:val="0096219D"/>
    <w:rsid w:val="00985FF1"/>
    <w:rsid w:val="009915F9"/>
    <w:rsid w:val="009B7347"/>
    <w:rsid w:val="009F20F8"/>
    <w:rsid w:val="009F4C08"/>
    <w:rsid w:val="00A46F80"/>
    <w:rsid w:val="00AD4D8E"/>
    <w:rsid w:val="00B11F46"/>
    <w:rsid w:val="00B34810"/>
    <w:rsid w:val="00B578C4"/>
    <w:rsid w:val="00B57F2D"/>
    <w:rsid w:val="00B65761"/>
    <w:rsid w:val="00B907B9"/>
    <w:rsid w:val="00BD203E"/>
    <w:rsid w:val="00BE5283"/>
    <w:rsid w:val="00BF7471"/>
    <w:rsid w:val="00C1611A"/>
    <w:rsid w:val="00C470D0"/>
    <w:rsid w:val="00C771C9"/>
    <w:rsid w:val="00CE2BA1"/>
    <w:rsid w:val="00D5705B"/>
    <w:rsid w:val="00D57756"/>
    <w:rsid w:val="00D62206"/>
    <w:rsid w:val="00D95321"/>
    <w:rsid w:val="00DA1DEA"/>
    <w:rsid w:val="00DB4757"/>
    <w:rsid w:val="00DC0A97"/>
    <w:rsid w:val="00E179F1"/>
    <w:rsid w:val="00E3555F"/>
    <w:rsid w:val="00E86C10"/>
    <w:rsid w:val="00EC6EDA"/>
    <w:rsid w:val="00F335F0"/>
    <w:rsid w:val="00F45C75"/>
    <w:rsid w:val="00F55F18"/>
    <w:rsid w:val="00F560A4"/>
    <w:rsid w:val="00F5778A"/>
    <w:rsid w:val="00F6607E"/>
    <w:rsid w:val="00FA29A0"/>
    <w:rsid w:val="00FA6E5F"/>
    <w:rsid w:val="00FB23CC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C7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D34E3"/>
    <w:pPr>
      <w:spacing w:after="0" w:line="240" w:lineRule="auto"/>
      <w:ind w:left="5760" w:firstLine="720"/>
      <w:jc w:val="both"/>
    </w:pPr>
    <w:rPr>
      <w:rFonts w:ascii="Times New Roman" w:eastAsia="Times New Roman" w:hAnsi="Times New Roman" w:cs="Times New Roman"/>
      <w:sz w:val="28"/>
      <w:szCs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3D34E3"/>
    <w:rPr>
      <w:rFonts w:ascii="Times New Roman" w:eastAsia="Times New Roman" w:hAnsi="Times New Roman" w:cs="Times New Roman"/>
      <w:sz w:val="28"/>
      <w:szCs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F5778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y2iqfc">
    <w:name w:val="y2iqfc"/>
    <w:basedOn w:val="DefaultParagraphFont"/>
    <w:rsid w:val="00F5778A"/>
  </w:style>
  <w:style w:type="character" w:styleId="Emphasis">
    <w:name w:val="Emphasis"/>
    <w:basedOn w:val="DefaultParagraphFont"/>
    <w:uiPriority w:val="20"/>
    <w:qFormat/>
    <w:rsid w:val="00F5778A"/>
    <w:rPr>
      <w:i/>
      <w:iCs/>
    </w:rPr>
  </w:style>
  <w:style w:type="paragraph" w:styleId="NoSpacing">
    <w:name w:val="No Spacing"/>
    <w:uiPriority w:val="1"/>
    <w:qFormat/>
    <w:rsid w:val="00F5778A"/>
    <w:pPr>
      <w:spacing w:after="0" w:line="240" w:lineRule="auto"/>
    </w:pPr>
    <w:rPr>
      <w:rFonts w:eastAsiaTheme="minorHAnsi"/>
      <w:lang w:val="bg-BG" w:eastAsia="en-US"/>
    </w:rPr>
  </w:style>
  <w:style w:type="paragraph" w:styleId="BodyText">
    <w:name w:val="Body Text"/>
    <w:basedOn w:val="Normal"/>
    <w:link w:val="BodyTextChar"/>
    <w:uiPriority w:val="99"/>
    <w:unhideWhenUsed/>
    <w:rsid w:val="000C1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1B19"/>
  </w:style>
  <w:style w:type="paragraph" w:styleId="BalloonText">
    <w:name w:val="Balloon Text"/>
    <w:basedOn w:val="Normal"/>
    <w:link w:val="BalloonTextChar"/>
    <w:uiPriority w:val="99"/>
    <w:semiHidden/>
    <w:unhideWhenUsed/>
    <w:rsid w:val="00F56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C7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D34E3"/>
    <w:pPr>
      <w:spacing w:after="0" w:line="240" w:lineRule="auto"/>
      <w:ind w:left="5760" w:firstLine="720"/>
      <w:jc w:val="both"/>
    </w:pPr>
    <w:rPr>
      <w:rFonts w:ascii="Times New Roman" w:eastAsia="Times New Roman" w:hAnsi="Times New Roman" w:cs="Times New Roman"/>
      <w:sz w:val="28"/>
      <w:szCs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3D34E3"/>
    <w:rPr>
      <w:rFonts w:ascii="Times New Roman" w:eastAsia="Times New Roman" w:hAnsi="Times New Roman" w:cs="Times New Roman"/>
      <w:sz w:val="28"/>
      <w:szCs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F5778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y2iqfc">
    <w:name w:val="y2iqfc"/>
    <w:basedOn w:val="DefaultParagraphFont"/>
    <w:rsid w:val="00F5778A"/>
  </w:style>
  <w:style w:type="character" w:styleId="Emphasis">
    <w:name w:val="Emphasis"/>
    <w:basedOn w:val="DefaultParagraphFont"/>
    <w:uiPriority w:val="20"/>
    <w:qFormat/>
    <w:rsid w:val="00F5778A"/>
    <w:rPr>
      <w:i/>
      <w:iCs/>
    </w:rPr>
  </w:style>
  <w:style w:type="paragraph" w:styleId="NoSpacing">
    <w:name w:val="No Spacing"/>
    <w:uiPriority w:val="1"/>
    <w:qFormat/>
    <w:rsid w:val="00F5778A"/>
    <w:pPr>
      <w:spacing w:after="0" w:line="240" w:lineRule="auto"/>
    </w:pPr>
    <w:rPr>
      <w:rFonts w:eastAsiaTheme="minorHAnsi"/>
      <w:lang w:val="bg-BG" w:eastAsia="en-US"/>
    </w:rPr>
  </w:style>
  <w:style w:type="paragraph" w:styleId="BodyText">
    <w:name w:val="Body Text"/>
    <w:basedOn w:val="Normal"/>
    <w:link w:val="BodyTextChar"/>
    <w:uiPriority w:val="99"/>
    <w:unhideWhenUsed/>
    <w:rsid w:val="000C1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1B19"/>
  </w:style>
  <w:style w:type="paragraph" w:styleId="BalloonText">
    <w:name w:val="Balloon Text"/>
    <w:basedOn w:val="Normal"/>
    <w:link w:val="BalloonTextChar"/>
    <w:uiPriority w:val="99"/>
    <w:semiHidden/>
    <w:unhideWhenUsed/>
    <w:rsid w:val="00F56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LinkToDocumentReference?fromDocumentId=2135464783&amp;dbId=0&amp;refId=27262457" TargetMode="External"/><Relationship Id="rId13" Type="http://schemas.openxmlformats.org/officeDocument/2006/relationships/hyperlink" Target="https://web6.ciela.net/Document/LinkToDocumentReference?fromDocumentId=2135464783&amp;dbId=0&amp;refId=27320965" TargetMode="External"/><Relationship Id="rId18" Type="http://schemas.openxmlformats.org/officeDocument/2006/relationships/hyperlink" Target="https://web6.ciela.net/Document/LinkToDocumentReference?fromDocumentId=2135464783&amp;dbId=0&amp;refId=272624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6.ciela.net/Document/LinkToDocumentReference?fromDocumentId=2135464783&amp;dbId=0&amp;refId=27262456" TargetMode="External"/><Relationship Id="rId12" Type="http://schemas.openxmlformats.org/officeDocument/2006/relationships/hyperlink" Target="https://web6.ciela.net/Document/LinkToDocumentReference?fromDocumentId=2135464783&amp;dbId=0&amp;refId=27320964" TargetMode="External"/><Relationship Id="rId17" Type="http://schemas.openxmlformats.org/officeDocument/2006/relationships/hyperlink" Target="https://web6.ciela.net/Document/LinkToDocumentReference?fromDocumentId=2135464783&amp;dbId=0&amp;refId=272624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6.ciela.net/Document/LinkToDocumentReference?fromDocumentId=2135464783&amp;dbId=0&amp;refId=2726246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eb6.ciela.net/Document/LinkToDocumentReference?fromDocumentId=2135464783&amp;dbId=0&amp;refId=27262455" TargetMode="External"/><Relationship Id="rId11" Type="http://schemas.openxmlformats.org/officeDocument/2006/relationships/hyperlink" Target="https://web6.ciela.net/Document/LinkToDocumentReference?fromDocumentId=2135464783&amp;dbId=0&amp;refId=273209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6.ciela.net/Document/LinkToDocumentReference?fromDocumentId=2135464783&amp;dbId=0&amp;refId=27262462" TargetMode="External"/><Relationship Id="rId10" Type="http://schemas.openxmlformats.org/officeDocument/2006/relationships/hyperlink" Target="https://web6.ciela.net/Document/LinkToDocumentReference?fromDocumentId=2135464783&amp;dbId=0&amp;refId=2726246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6.ciela.net/Document/LinkToDocumentReference?fromDocumentId=2135464783&amp;dbId=0&amp;refId=27262459" TargetMode="External"/><Relationship Id="rId14" Type="http://schemas.openxmlformats.org/officeDocument/2006/relationships/hyperlink" Target="https://web6.ciela.net/Document/LinkToDocumentReference?fromDocumentId=2135464783&amp;dbId=0&amp;refId=272624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4359</Words>
  <Characters>24849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ovos</dc:creator>
  <cp:lastModifiedBy>Anastasia Staneva</cp:lastModifiedBy>
  <cp:revision>3</cp:revision>
  <cp:lastPrinted>2022-10-11T06:27:00Z</cp:lastPrinted>
  <dcterms:created xsi:type="dcterms:W3CDTF">2022-11-01T12:18:00Z</dcterms:created>
  <dcterms:modified xsi:type="dcterms:W3CDTF">2022-11-01T12:19:00Z</dcterms:modified>
</cp:coreProperties>
</file>