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58" w:rsidRDefault="001C4758" w:rsidP="001C4758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                                                  </w:t>
      </w:r>
      <w:r w:rsidR="004A28D6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          Приложение №5 към чл. 4,ап. 1</w:t>
      </w:r>
    </w:p>
    <w:p w:rsidR="004A28D6" w:rsidRPr="004A28D6" w:rsidRDefault="004A28D6" w:rsidP="001C4758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bg-BG"/>
        </w:rPr>
        <w:t>(Ново – ДВ, бр. 12 от 2016г., в сила от 12.02.2016г., изм. и доп. – ДВ, бр. 3 от 2018г.)</w:t>
      </w:r>
    </w:p>
    <w:p w:rsidR="001C4758" w:rsidRPr="00B03AE3" w:rsidRDefault="001C4758" w:rsidP="001C4758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</w:p>
    <w:p w:rsidR="001C4758" w:rsidRPr="00B03AE3" w:rsidRDefault="001C4758" w:rsidP="001C4758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170"/>
        <w:gridCol w:w="29"/>
        <w:gridCol w:w="29"/>
        <w:gridCol w:w="28"/>
        <w:gridCol w:w="354"/>
      </w:tblGrid>
      <w:tr w:rsidR="001C4758" w:rsidRPr="001C4758" w:rsidTr="001C4758">
        <w:tc>
          <w:tcPr>
            <w:tcW w:w="939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758" w:rsidRPr="00B03AE3" w:rsidRDefault="001C4758" w:rsidP="001C4758">
            <w:pPr>
              <w:tabs>
                <w:tab w:val="right" w:leader="dot" w:pos="4394"/>
              </w:tabs>
              <w:spacing w:before="57" w:after="0" w:line="268" w:lineRule="auto"/>
              <w:ind w:left="1814"/>
              <w:textAlignment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val="bg-BG"/>
              </w:rPr>
              <w:t xml:space="preserve">                                                   </w:t>
            </w:r>
            <w:r w:rsidRPr="00B03AE3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val="bg-BG"/>
              </w:rPr>
              <w:t>ДО</w:t>
            </w:r>
          </w:p>
          <w:p w:rsidR="001C4758" w:rsidRPr="001C4758" w:rsidRDefault="001C4758" w:rsidP="001C4758">
            <w:pPr>
              <w:tabs>
                <w:tab w:val="right" w:leader="dot" w:pos="4394"/>
              </w:tabs>
              <w:spacing w:after="0" w:line="268" w:lineRule="auto"/>
              <w:ind w:left="1814"/>
              <w:textAlignment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val="bg-BG"/>
              </w:rPr>
              <w:t xml:space="preserve">                                                   </w:t>
            </w:r>
            <w:r w:rsidRPr="00B03AE3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val="bg-BG"/>
              </w:rPr>
              <w:t xml:space="preserve">ДИРЕКТОРА НА РИОСВ </w:t>
            </w:r>
            <w:r w:rsidR="004A28D6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val="bg-BG"/>
              </w:rPr>
              <w:t>ПЛОВДИВ</w:t>
            </w:r>
          </w:p>
          <w:p w:rsidR="001C4758" w:rsidRDefault="001C4758" w:rsidP="001C4758">
            <w:pPr>
              <w:spacing w:before="113" w:after="57" w:line="26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bg-BG"/>
              </w:rPr>
            </w:pPr>
          </w:p>
          <w:p w:rsidR="001C4758" w:rsidRDefault="001C4758" w:rsidP="001C4758">
            <w:pPr>
              <w:spacing w:before="113" w:after="57" w:line="26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bg-BG"/>
              </w:rPr>
            </w:pPr>
          </w:p>
          <w:p w:rsidR="001C4758" w:rsidRPr="00B03AE3" w:rsidRDefault="001C4758" w:rsidP="001C4758">
            <w:pPr>
              <w:spacing w:before="113" w:after="57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                      </w:t>
            </w:r>
            <w:r w:rsidRPr="00B03A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УВЕДОМЛЕНИЕ</w:t>
            </w:r>
          </w:p>
          <w:p w:rsidR="001C4758" w:rsidRDefault="001C4758" w:rsidP="001C4758">
            <w:pPr>
              <w:spacing w:before="113" w:after="57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          </w:t>
            </w:r>
            <w:r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инвестиционно предложение</w:t>
            </w:r>
          </w:p>
          <w:p w:rsidR="000D0A2F" w:rsidRPr="00650BF8" w:rsidRDefault="000D0A2F" w:rsidP="001C4758">
            <w:pPr>
              <w:spacing w:before="113" w:after="57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1C4758" w:rsidRPr="001C4758" w:rsidRDefault="001C4758" w:rsidP="000E78DC">
            <w:pPr>
              <w:tabs>
                <w:tab w:val="right" w:leader="dot" w:pos="4394"/>
              </w:tabs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</w:t>
            </w:r>
            <w:r w:rsidR="003875D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="006F657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</w:t>
            </w:r>
            <w:r w:rsidR="003875D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D7D7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П</w:t>
            </w:r>
            <w:r w:rsidR="000E78D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. </w:t>
            </w:r>
            <w:r w:rsidR="00926F26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КАРАБЕЛОВ</w:t>
            </w:r>
            <w:r w:rsidR="003875D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............................................................................                                                                                                        </w:t>
            </w:r>
          </w:p>
          <w:p w:rsidR="001C4758" w:rsidRDefault="001C4758" w:rsidP="001C4758">
            <w:pPr>
              <w:tabs>
                <w:tab w:val="right" w:leader="dot" w:pos="4394"/>
              </w:tabs>
              <w:spacing w:before="113" w:after="57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</w:pPr>
          </w:p>
          <w:p w:rsidR="001C4758" w:rsidRPr="00B03AE3" w:rsidRDefault="001C4758" w:rsidP="001C4758">
            <w:pPr>
              <w:tabs>
                <w:tab w:val="right" w:leader="dot" w:pos="4394"/>
              </w:tabs>
              <w:spacing w:before="113" w:after="57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3A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>УВАЖАЕМ</w:t>
            </w:r>
            <w:r w:rsidR="00650B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="00650BF8" w:rsidRPr="00B03A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B03A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Г-ЖО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 xml:space="preserve"> </w:t>
            </w:r>
            <w:r w:rsidRPr="00B03A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g-BG"/>
              </w:rPr>
              <w:t>ДИРЕКТОР,</w:t>
            </w:r>
          </w:p>
          <w:p w:rsidR="004D2D07" w:rsidRDefault="00C54A4C" w:rsidP="00A94045">
            <w:pPr>
              <w:tabs>
                <w:tab w:val="right" w:leader="dot" w:pos="4394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Уведомяваме Ви, че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</w:t>
            </w:r>
            <w:r w:rsidR="000E78D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П. </w:t>
            </w:r>
            <w:r w:rsidR="00D74E1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КАРАБЕЛОВ</w:t>
            </w:r>
            <w:r w:rsidR="006F6578" w:rsidRPr="00B03A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C4758" w:rsidRPr="00B03A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има следното инвестиционно предложение:</w:t>
            </w:r>
          </w:p>
          <w:p w:rsidR="001C4758" w:rsidRPr="00073E88" w:rsidRDefault="00A76178" w:rsidP="00A94045">
            <w:pPr>
              <w:tabs>
                <w:tab w:val="right" w:leader="dot" w:pos="4394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Жилищна сграда в УПИ XIX-</w:t>
            </w:r>
            <w:r w:rsidR="00EA1DBD" w:rsidRPr="00EA1DB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124.1294, кв. 2 по плана на с. Марково, Община Родопи, Област Пловдив</w:t>
            </w:r>
            <w:r w:rsidR="00A94045" w:rsidRPr="00073E8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br/>
            </w:r>
          </w:p>
          <w:p w:rsidR="001C4758" w:rsidRPr="001C4758" w:rsidRDefault="001C4758" w:rsidP="001C4758">
            <w:pPr>
              <w:tabs>
                <w:tab w:val="right" w:leader="dot" w:pos="4394"/>
              </w:tabs>
              <w:spacing w:before="57"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5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на инвестиционното предложение:</w:t>
            </w:r>
          </w:p>
          <w:p w:rsidR="001C4758" w:rsidRPr="001C4758" w:rsidRDefault="001C4758" w:rsidP="001C4758">
            <w:pPr>
              <w:tabs>
                <w:tab w:val="right" w:leader="dot" w:pos="4394"/>
              </w:tabs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Резюме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предложението</w:t>
            </w:r>
            <w:proofErr w:type="spellEnd"/>
          </w:p>
          <w:p w:rsidR="00BC0DA0" w:rsidRDefault="00D96F86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С настоящето инвестиц</w:t>
            </w:r>
            <w:r w:rsidR="00BC0DA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ионно предложение се предвижда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изграждане на нова </w:t>
            </w:r>
            <w:r w:rsidRPr="000B30B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еднофамилна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</w:t>
            </w:r>
            <w:r w:rsidRPr="000B30B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</w:t>
            </w:r>
            <w:r w:rsidR="0077691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жилищна сграда в</w:t>
            </w:r>
            <w:r w:rsidR="00A94045" w:rsidRPr="00E52B7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</w:t>
            </w:r>
            <w:r w:rsidR="00BC0DA0" w:rsidRPr="00BC0DA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УПИ </w:t>
            </w:r>
            <w:r w:rsidR="00A61A8D" w:rsidRPr="00A61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XIX-124.1294</w:t>
            </w:r>
            <w:r w:rsidR="00A61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.</w:t>
            </w:r>
          </w:p>
          <w:p w:rsidR="001C4758" w:rsidRDefault="001C4758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посочва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се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характерът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на инвестиционното предложение, в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т.ч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дали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е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ново инвестиционно предложение, и/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или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разширение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или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изменение на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производствената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дейност съгласно </w:t>
            </w:r>
            <w:hyperlink r:id="rId4" w:tgtFrame="_self" w:history="1">
              <w:proofErr w:type="spellStart"/>
              <w:r w:rsidRPr="001C4758">
                <w:rPr>
                  <w:rFonts w:ascii="Times New Roman" w:eastAsia="Times New Roman" w:hAnsi="Times New Roman" w:cs="Times New Roman"/>
                  <w:bCs/>
                  <w:i/>
                  <w:sz w:val="20"/>
                  <w:szCs w:val="20"/>
                </w:rPr>
                <w:t>приложение</w:t>
              </w:r>
              <w:proofErr w:type="spellEnd"/>
              <w:r w:rsidRPr="001C4758">
                <w:rPr>
                  <w:rFonts w:ascii="Times New Roman" w:eastAsia="Times New Roman" w:hAnsi="Times New Roman" w:cs="Times New Roman"/>
                  <w:bCs/>
                  <w:i/>
                  <w:sz w:val="20"/>
                  <w:szCs w:val="20"/>
                </w:rPr>
                <w:t xml:space="preserve"> № 1</w:t>
              </w:r>
            </w:hyperlink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или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hyperlink r:id="rId5" w:tgtFrame="_self" w:history="1">
              <w:proofErr w:type="spellStart"/>
              <w:r w:rsidRPr="001C4758">
                <w:rPr>
                  <w:rFonts w:ascii="Times New Roman" w:eastAsia="Times New Roman" w:hAnsi="Times New Roman" w:cs="Times New Roman"/>
                  <w:bCs/>
                  <w:i/>
                  <w:sz w:val="20"/>
                  <w:szCs w:val="20"/>
                </w:rPr>
                <w:t>приложение</w:t>
              </w:r>
              <w:proofErr w:type="spellEnd"/>
              <w:r w:rsidRPr="001C4758">
                <w:rPr>
                  <w:rFonts w:ascii="Times New Roman" w:eastAsia="Times New Roman" w:hAnsi="Times New Roman" w:cs="Times New Roman"/>
                  <w:bCs/>
                  <w:i/>
                  <w:sz w:val="20"/>
                  <w:szCs w:val="20"/>
                </w:rPr>
                <w:t xml:space="preserve"> № 2 </w:t>
              </w:r>
              <w:proofErr w:type="spellStart"/>
              <w:r w:rsidRPr="001C4758">
                <w:rPr>
                  <w:rFonts w:ascii="Times New Roman" w:eastAsia="Times New Roman" w:hAnsi="Times New Roman" w:cs="Times New Roman"/>
                  <w:bCs/>
                  <w:i/>
                  <w:sz w:val="20"/>
                  <w:szCs w:val="20"/>
                </w:rPr>
                <w:t>към</w:t>
              </w:r>
              <w:proofErr w:type="spellEnd"/>
              <w:r w:rsidRPr="001C4758">
                <w:rPr>
                  <w:rFonts w:ascii="Times New Roman" w:eastAsia="Times New Roman" w:hAnsi="Times New Roman" w:cs="Times New Roman"/>
                  <w:bCs/>
                  <w:i/>
                  <w:sz w:val="20"/>
                  <w:szCs w:val="20"/>
                </w:rPr>
                <w:t xml:space="preserve"> </w:t>
              </w:r>
              <w:proofErr w:type="spellStart"/>
              <w:r w:rsidRPr="001C4758">
                <w:rPr>
                  <w:rFonts w:ascii="Times New Roman" w:eastAsia="Times New Roman" w:hAnsi="Times New Roman" w:cs="Times New Roman"/>
                  <w:bCs/>
                  <w:i/>
                  <w:sz w:val="20"/>
                  <w:szCs w:val="20"/>
                </w:rPr>
                <w:t>Закона</w:t>
              </w:r>
              <w:proofErr w:type="spellEnd"/>
              <w:r w:rsidRPr="001C4758">
                <w:rPr>
                  <w:rFonts w:ascii="Times New Roman" w:eastAsia="Times New Roman" w:hAnsi="Times New Roman" w:cs="Times New Roman"/>
                  <w:bCs/>
                  <w:i/>
                  <w:sz w:val="20"/>
                  <w:szCs w:val="20"/>
                </w:rPr>
                <w:t xml:space="preserve"> </w:t>
              </w:r>
              <w:proofErr w:type="spellStart"/>
              <w:r w:rsidRPr="001C4758">
                <w:rPr>
                  <w:rFonts w:ascii="Times New Roman" w:eastAsia="Times New Roman" w:hAnsi="Times New Roman" w:cs="Times New Roman"/>
                  <w:bCs/>
                  <w:i/>
                  <w:sz w:val="20"/>
                  <w:szCs w:val="20"/>
                </w:rPr>
                <w:t>за</w:t>
              </w:r>
              <w:proofErr w:type="spellEnd"/>
              <w:r w:rsidRPr="001C4758">
                <w:rPr>
                  <w:rFonts w:ascii="Times New Roman" w:eastAsia="Times New Roman" w:hAnsi="Times New Roman" w:cs="Times New Roman"/>
                  <w:bCs/>
                  <w:i/>
                  <w:sz w:val="20"/>
                  <w:szCs w:val="20"/>
                </w:rPr>
                <w:t xml:space="preserve"> опазване на околната среда</w:t>
              </w:r>
            </w:hyperlink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(ЗООС)</w:t>
            </w:r>
          </w:p>
          <w:p w:rsidR="001C4758" w:rsidRPr="001C4758" w:rsidRDefault="001C4758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:rsidR="001C4758" w:rsidRPr="001C4758" w:rsidRDefault="001C4758" w:rsidP="001C4758">
            <w:pPr>
              <w:tabs>
                <w:tab w:val="right" w:leader="dot" w:pos="4394"/>
              </w:tabs>
              <w:spacing w:before="57"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C4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A479F7" w:rsidRDefault="00D96F86" w:rsidP="00D96F86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С настоящето инвестиционно предложение се предвижда</w:t>
            </w:r>
            <w:r w:rsidR="001C53A7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изграждане на</w:t>
            </w:r>
            <w:r w:rsidR="00576922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1C53A7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едно</w:t>
            </w:r>
            <w:r w:rsidR="00576922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етажна </w:t>
            </w:r>
            <w:r w:rsidR="00111B5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жилищна сграда</w:t>
            </w:r>
            <w:r w:rsidRPr="000B30B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, разположена в </w:t>
            </w:r>
            <w:r w:rsidR="006A727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южната</w:t>
            </w:r>
            <w:r w:rsidR="00A9404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част</w:t>
            </w:r>
            <w:r w:rsidR="00111B5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на</w:t>
            </w:r>
            <w:r w:rsidR="0081372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</w:t>
            </w:r>
            <w:r w:rsidR="001C53A7" w:rsidRPr="00BC0DA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УПИ </w:t>
            </w:r>
            <w:r w:rsidR="00147EF6" w:rsidRPr="00147EF6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XIX-124.1294</w:t>
            </w:r>
            <w:r w:rsidR="001C53A7" w:rsidRPr="00BC0DA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</w:t>
            </w:r>
            <w:r w:rsidRPr="000B30B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с РЗП 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~ ~ </w:t>
            </w:r>
            <w:r w:rsidR="00A4433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150</w:t>
            </w:r>
            <w:r w:rsidR="00111B5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6D5A07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m</w:t>
            </w:r>
            <w:r w:rsidR="00111B5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Общата площ на </w:t>
            </w:r>
            <w:r w:rsidR="00A94045" w:rsidRPr="006D5A07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УПИ </w:t>
            </w:r>
            <w:r w:rsidR="00A4433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XIX-</w:t>
            </w:r>
            <w:r w:rsidR="00A4433B" w:rsidRPr="00EA1DB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124.1294</w:t>
            </w:r>
            <w:r w:rsidR="001C53A7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, ПИ</w:t>
            </w:r>
            <w:r w:rsidR="001C53A7" w:rsidRPr="00BC0DA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47295.</w:t>
            </w:r>
            <w:r w:rsidR="00A4433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124</w:t>
            </w:r>
            <w:r w:rsidR="001C53A7" w:rsidRPr="00BC0DA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.</w:t>
            </w:r>
            <w:r w:rsidR="00A4433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1294</w:t>
            </w:r>
            <w:r w:rsidR="00AE538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, е</w:t>
            </w:r>
            <w:r w:rsidR="00A9404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</w:t>
            </w:r>
            <w:r w:rsidR="008C3C1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568</w:t>
            </w:r>
            <w:r w:rsidR="00A94045" w:rsidRPr="006D5A07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кв.м, </w:t>
            </w:r>
            <w:r w:rsidR="00A479F7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по плана на с.</w:t>
            </w:r>
            <w:r w:rsidR="001C53A7" w:rsidRPr="00BC0DA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Марково</w:t>
            </w:r>
            <w:r w:rsidR="00A479F7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, община Родопи, област Пловдив.</w:t>
            </w:r>
          </w:p>
          <w:p w:rsidR="00D96F86" w:rsidRDefault="00D96F86" w:rsidP="00D96F86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Подх</w:t>
            </w:r>
            <w:r w:rsidR="001B60B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одът към имота ще се осъществява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от съществуващата улица от</w:t>
            </w:r>
            <w:r w:rsidR="00390A8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</w:t>
            </w:r>
            <w:r w:rsidR="00AE538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юг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.</w:t>
            </w:r>
          </w:p>
          <w:p w:rsidR="00D96F86" w:rsidRPr="006D5A07" w:rsidRDefault="00D96F86" w:rsidP="00D96F86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Всички изкопни работи ще са на дълбочина 1-1,5 м и няма да се използва взрив</w:t>
            </w:r>
            <w:r w:rsidR="00881A6E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.</w:t>
            </w:r>
          </w:p>
          <w:p w:rsidR="001C4758" w:rsidRPr="00650BF8" w:rsidRDefault="004B6AA1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B30B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</w:t>
            </w:r>
            <w:r w:rsidR="000B30B4" w:rsidRPr="000B30B4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</w:t>
            </w:r>
          </w:p>
          <w:p w:rsidR="001C4758" w:rsidRDefault="001C4758" w:rsidP="001C4758">
            <w:pPr>
              <w:tabs>
                <w:tab w:val="right" w:leader="dot" w:pos="4394"/>
              </w:tabs>
              <w:spacing w:before="57"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1C4758" w:rsidRPr="001C4758" w:rsidRDefault="001C4758" w:rsidP="001C4758">
            <w:pPr>
              <w:tabs>
                <w:tab w:val="right" w:leader="dot" w:pos="4394"/>
              </w:tabs>
              <w:spacing w:before="57"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C4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1C4758" w:rsidRPr="00650BF8" w:rsidRDefault="001C4758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</w:t>
            </w:r>
          </w:p>
          <w:p w:rsidR="001C4758" w:rsidRPr="00650BF8" w:rsidRDefault="001C4758" w:rsidP="001C4758">
            <w:pPr>
              <w:tabs>
                <w:tab w:val="right" w:leader="dot" w:pos="4394"/>
              </w:tabs>
              <w:spacing w:before="57"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 Местоположение:</w:t>
            </w:r>
          </w:p>
          <w:p w:rsidR="001C4758" w:rsidRPr="00650BF8" w:rsidRDefault="001C4758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650B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</w:t>
            </w:r>
            <w:r w:rsidRPr="001C47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UTM</w:t>
            </w:r>
            <w:r w:rsidRPr="00650B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FD5CA1" w:rsidRDefault="00FD5CA1" w:rsidP="00D96F86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</w:pPr>
            <w:r w:rsidRPr="00FD5CA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УПИ XIX-124.1294, кв. 2 по плана на с. Марково, Община Родопи, Област Пловдив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.</w:t>
            </w:r>
          </w:p>
          <w:p w:rsidR="00D96F86" w:rsidRDefault="00D96F86" w:rsidP="00D96F86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</w:pPr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С инвестиционното предложение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се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засягат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защитени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със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закон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територии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. Инвестиционното предложение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попада в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граници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на защитени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територии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смисъла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Закона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защитените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територии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и в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граници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на защитени зони по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Закона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биологичното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разнообразие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.</w:t>
            </w:r>
          </w:p>
          <w:p w:rsidR="00D96F86" w:rsidRPr="00F94B06" w:rsidRDefault="00D96F86" w:rsidP="00D96F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808080" w:themeColor="background1" w:themeShade="80"/>
              </w:rPr>
            </w:pPr>
            <w:r w:rsidRPr="00F94B06">
              <w:rPr>
                <w:color w:val="808080" w:themeColor="background1" w:themeShade="80"/>
              </w:rPr>
              <w:t xml:space="preserve">Инвестиционното предложение няма </w:t>
            </w:r>
            <w:proofErr w:type="spellStart"/>
            <w:r w:rsidRPr="00F94B06">
              <w:rPr>
                <w:color w:val="808080" w:themeColor="background1" w:themeShade="80"/>
              </w:rPr>
              <w:t>да</w:t>
            </w:r>
            <w:proofErr w:type="spellEnd"/>
            <w:r w:rsidRPr="00F94B06">
              <w:rPr>
                <w:color w:val="808080" w:themeColor="background1" w:themeShade="80"/>
              </w:rPr>
              <w:t xml:space="preserve"> </w:t>
            </w:r>
            <w:proofErr w:type="spellStart"/>
            <w:r w:rsidRPr="00F94B06">
              <w:rPr>
                <w:color w:val="808080" w:themeColor="background1" w:themeShade="80"/>
              </w:rPr>
              <w:t>засегне</w:t>
            </w:r>
            <w:proofErr w:type="spellEnd"/>
            <w:r w:rsidRPr="00F94B06">
              <w:rPr>
                <w:color w:val="808080" w:themeColor="background1" w:themeShade="80"/>
              </w:rPr>
              <w:t xml:space="preserve"> обекти, </w:t>
            </w:r>
            <w:proofErr w:type="spellStart"/>
            <w:r w:rsidRPr="00F94B06">
              <w:rPr>
                <w:color w:val="808080" w:themeColor="background1" w:themeShade="80"/>
              </w:rPr>
              <w:t>подлежащи</w:t>
            </w:r>
            <w:proofErr w:type="spellEnd"/>
            <w:r w:rsidRPr="00F94B06">
              <w:rPr>
                <w:color w:val="808080" w:themeColor="background1" w:themeShade="80"/>
              </w:rPr>
              <w:t xml:space="preserve"> на </w:t>
            </w:r>
            <w:proofErr w:type="spellStart"/>
            <w:r w:rsidRPr="00F94B06">
              <w:rPr>
                <w:color w:val="808080" w:themeColor="background1" w:themeShade="80"/>
              </w:rPr>
              <w:t>здравна</w:t>
            </w:r>
            <w:proofErr w:type="spellEnd"/>
            <w:r w:rsidRPr="00F94B06">
              <w:rPr>
                <w:color w:val="808080" w:themeColor="background1" w:themeShade="80"/>
              </w:rPr>
              <w:t xml:space="preserve"> </w:t>
            </w:r>
            <w:proofErr w:type="spellStart"/>
            <w:r w:rsidRPr="00F94B06">
              <w:rPr>
                <w:color w:val="808080" w:themeColor="background1" w:themeShade="80"/>
              </w:rPr>
              <w:t>защита</w:t>
            </w:r>
            <w:proofErr w:type="spellEnd"/>
            <w:r w:rsidRPr="00F94B06">
              <w:rPr>
                <w:color w:val="808080" w:themeColor="background1" w:themeShade="80"/>
              </w:rPr>
              <w:t xml:space="preserve">, и </w:t>
            </w:r>
            <w:proofErr w:type="spellStart"/>
            <w:r w:rsidRPr="00F94B06">
              <w:rPr>
                <w:color w:val="808080" w:themeColor="background1" w:themeShade="80"/>
              </w:rPr>
              <w:t>територии</w:t>
            </w:r>
            <w:proofErr w:type="spellEnd"/>
            <w:r w:rsidRPr="00F94B06">
              <w:rPr>
                <w:color w:val="808080" w:themeColor="background1" w:themeShade="80"/>
              </w:rPr>
              <w:t xml:space="preserve"> </w:t>
            </w:r>
            <w:proofErr w:type="spellStart"/>
            <w:r w:rsidRPr="00F94B06">
              <w:rPr>
                <w:color w:val="808080" w:themeColor="background1" w:themeShade="80"/>
              </w:rPr>
              <w:t>за</w:t>
            </w:r>
            <w:proofErr w:type="spellEnd"/>
            <w:r w:rsidRPr="00F94B06">
              <w:rPr>
                <w:color w:val="808080" w:themeColor="background1" w:themeShade="80"/>
              </w:rPr>
              <w:t xml:space="preserve"> опазване на </w:t>
            </w:r>
            <w:proofErr w:type="spellStart"/>
            <w:r w:rsidRPr="00F94B06">
              <w:rPr>
                <w:color w:val="808080" w:themeColor="background1" w:themeShade="80"/>
              </w:rPr>
              <w:t>обектите</w:t>
            </w:r>
            <w:proofErr w:type="spellEnd"/>
            <w:r w:rsidRPr="00F94B06">
              <w:rPr>
                <w:color w:val="808080" w:themeColor="background1" w:themeShade="80"/>
              </w:rPr>
              <w:t xml:space="preserve"> на </w:t>
            </w:r>
            <w:proofErr w:type="spellStart"/>
            <w:r w:rsidRPr="00F94B06">
              <w:rPr>
                <w:color w:val="808080" w:themeColor="background1" w:themeShade="80"/>
              </w:rPr>
              <w:t>културното</w:t>
            </w:r>
            <w:proofErr w:type="spellEnd"/>
            <w:r w:rsidRPr="00F94B06">
              <w:rPr>
                <w:color w:val="808080" w:themeColor="background1" w:themeShade="80"/>
              </w:rPr>
              <w:t xml:space="preserve"> </w:t>
            </w:r>
            <w:proofErr w:type="spellStart"/>
            <w:r w:rsidRPr="00F94B06">
              <w:rPr>
                <w:color w:val="808080" w:themeColor="background1" w:themeShade="80"/>
              </w:rPr>
              <w:t>наследство</w:t>
            </w:r>
            <w:proofErr w:type="spellEnd"/>
            <w:r w:rsidRPr="00F94B06">
              <w:rPr>
                <w:color w:val="808080" w:themeColor="background1" w:themeShade="80"/>
              </w:rPr>
              <w:t>.</w:t>
            </w:r>
          </w:p>
          <w:p w:rsidR="00D96F86" w:rsidRPr="00F94B06" w:rsidRDefault="00D96F86" w:rsidP="00D96F8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808080" w:themeColor="background1" w:themeShade="80"/>
                <w:lang w:val="bg-BG"/>
              </w:rPr>
            </w:pPr>
            <w:proofErr w:type="spellStart"/>
            <w:r w:rsidRPr="00F94B06">
              <w:rPr>
                <w:color w:val="808080" w:themeColor="background1" w:themeShade="80"/>
              </w:rPr>
              <w:t>Не</w:t>
            </w:r>
            <w:proofErr w:type="spellEnd"/>
            <w:r w:rsidRPr="00F94B06">
              <w:rPr>
                <w:color w:val="808080" w:themeColor="background1" w:themeShade="80"/>
              </w:rPr>
              <w:t xml:space="preserve"> се </w:t>
            </w:r>
            <w:proofErr w:type="spellStart"/>
            <w:r w:rsidRPr="00F94B06">
              <w:rPr>
                <w:color w:val="808080" w:themeColor="background1" w:themeShade="80"/>
              </w:rPr>
              <w:t>налага</w:t>
            </w:r>
            <w:proofErr w:type="spellEnd"/>
            <w:r w:rsidRPr="00F94B06">
              <w:rPr>
                <w:color w:val="808080" w:themeColor="background1" w:themeShade="80"/>
              </w:rPr>
              <w:t xml:space="preserve"> </w:t>
            </w:r>
            <w:proofErr w:type="spellStart"/>
            <w:r w:rsidRPr="00F94B06">
              <w:rPr>
                <w:color w:val="808080" w:themeColor="background1" w:themeShade="80"/>
              </w:rPr>
              <w:t>схема</w:t>
            </w:r>
            <w:proofErr w:type="spellEnd"/>
            <w:r w:rsidRPr="00F94B06">
              <w:rPr>
                <w:color w:val="808080" w:themeColor="background1" w:themeShade="80"/>
              </w:rPr>
              <w:t xml:space="preserve"> на </w:t>
            </w:r>
            <w:proofErr w:type="spellStart"/>
            <w:r w:rsidRPr="00F94B06">
              <w:rPr>
                <w:color w:val="808080" w:themeColor="background1" w:themeShade="80"/>
              </w:rPr>
              <w:t>нова</w:t>
            </w:r>
            <w:proofErr w:type="spellEnd"/>
            <w:r w:rsidRPr="00F94B06">
              <w:rPr>
                <w:color w:val="808080" w:themeColor="background1" w:themeShade="80"/>
              </w:rPr>
              <w:t xml:space="preserve"> </w:t>
            </w:r>
            <w:proofErr w:type="spellStart"/>
            <w:r w:rsidRPr="00F94B06">
              <w:rPr>
                <w:color w:val="808080" w:themeColor="background1" w:themeShade="80"/>
              </w:rPr>
              <w:t>или</w:t>
            </w:r>
            <w:proofErr w:type="spellEnd"/>
            <w:r w:rsidRPr="00F94B06">
              <w:rPr>
                <w:color w:val="808080" w:themeColor="background1" w:themeShade="80"/>
              </w:rPr>
              <w:t xml:space="preserve"> промяна на съществуваща </w:t>
            </w:r>
            <w:proofErr w:type="spellStart"/>
            <w:r w:rsidRPr="00F94B06">
              <w:rPr>
                <w:color w:val="808080" w:themeColor="background1" w:themeShade="80"/>
              </w:rPr>
              <w:t>пътна</w:t>
            </w:r>
            <w:proofErr w:type="spellEnd"/>
            <w:r w:rsidRPr="00F94B06">
              <w:rPr>
                <w:color w:val="808080" w:themeColor="background1" w:themeShade="80"/>
              </w:rPr>
              <w:t xml:space="preserve"> инфраструктура, </w:t>
            </w:r>
            <w:proofErr w:type="spellStart"/>
            <w:r w:rsidRPr="00F94B06">
              <w:rPr>
                <w:color w:val="808080" w:themeColor="background1" w:themeShade="80"/>
              </w:rPr>
              <w:t>тъй</w:t>
            </w:r>
            <w:proofErr w:type="spellEnd"/>
            <w:r w:rsidRPr="00F94B06">
              <w:rPr>
                <w:color w:val="808080" w:themeColor="background1" w:themeShade="80"/>
              </w:rPr>
              <w:t xml:space="preserve"> </w:t>
            </w:r>
            <w:proofErr w:type="gramStart"/>
            <w:r w:rsidRPr="00F94B06">
              <w:rPr>
                <w:color w:val="808080" w:themeColor="background1" w:themeShade="80"/>
              </w:rPr>
              <w:t>като  </w:t>
            </w:r>
            <w:proofErr w:type="spellStart"/>
            <w:r w:rsidRPr="00F94B06">
              <w:rPr>
                <w:color w:val="808080" w:themeColor="background1" w:themeShade="80"/>
              </w:rPr>
              <w:t>достъп</w:t>
            </w:r>
            <w:r w:rsidR="00587E75">
              <w:rPr>
                <w:color w:val="808080" w:themeColor="background1" w:themeShade="80"/>
                <w:lang w:val="bg-BG"/>
              </w:rPr>
              <w:t>ът</w:t>
            </w:r>
            <w:proofErr w:type="spellEnd"/>
            <w:proofErr w:type="gramEnd"/>
            <w:r w:rsidRPr="00F94B06">
              <w:rPr>
                <w:color w:val="808080" w:themeColor="background1" w:themeShade="80"/>
              </w:rPr>
              <w:t xml:space="preserve"> </w:t>
            </w:r>
            <w:proofErr w:type="spellStart"/>
            <w:r w:rsidRPr="00F94B06">
              <w:rPr>
                <w:color w:val="808080" w:themeColor="background1" w:themeShade="80"/>
              </w:rPr>
              <w:t>до</w:t>
            </w:r>
            <w:proofErr w:type="spellEnd"/>
            <w:r w:rsidRPr="00F94B06">
              <w:rPr>
                <w:color w:val="808080" w:themeColor="background1" w:themeShade="80"/>
              </w:rPr>
              <w:t xml:space="preserve"> имота ще се осъществи чрез</w:t>
            </w:r>
            <w:r>
              <w:rPr>
                <w:color w:val="808080" w:themeColor="background1" w:themeShade="80"/>
                <w:lang w:val="bg-BG"/>
              </w:rPr>
              <w:t xml:space="preserve"> съществуващата пътна инфраструктура.</w:t>
            </w:r>
          </w:p>
          <w:p w:rsidR="001C4758" w:rsidRPr="00650BF8" w:rsidRDefault="001C4758" w:rsidP="001C4758">
            <w:pPr>
              <w:tabs>
                <w:tab w:val="right" w:leader="dot" w:pos="4394"/>
              </w:tabs>
              <w:spacing w:before="57"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1C4758" w:rsidRPr="00650BF8" w:rsidRDefault="001C4758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650B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D96F86" w:rsidRPr="00F94B06" w:rsidRDefault="00D96F86" w:rsidP="00D96F86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</w:pPr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По време на строителството на обекта ще се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ползват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следните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природни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ресурси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пясък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чакъл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филц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дървен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материал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, вода.</w:t>
            </w:r>
          </w:p>
          <w:p w:rsidR="00D96F86" w:rsidRDefault="00D96F86" w:rsidP="00D96F86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</w:pPr>
          </w:p>
          <w:p w:rsidR="002F00A5" w:rsidRDefault="002F00A5" w:rsidP="002F00A5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В</w:t>
            </w:r>
            <w:r w:rsidRPr="008B4ED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о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доснабдяването за битовото потребление на бъдещия обект ще се осъществи от собствен водоизточник.</w:t>
            </w:r>
          </w:p>
          <w:p w:rsidR="002F00A5" w:rsidRDefault="002F00A5" w:rsidP="002F00A5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Дълбочината на сондажния кладенец ще бъде до 50м.</w:t>
            </w:r>
          </w:p>
          <w:p w:rsidR="0001547B" w:rsidRDefault="0001547B" w:rsidP="002F00A5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</w:pPr>
          </w:p>
          <w:p w:rsidR="00573B28" w:rsidRPr="00650BF8" w:rsidRDefault="00573B28" w:rsidP="00573B2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1C4758" w:rsidRPr="00650BF8" w:rsidRDefault="001C4758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D96F86" w:rsidRDefault="00D96F86" w:rsidP="00D96F86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21E1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Не се очаква да се емитират вещества от дейността</w:t>
            </w:r>
            <w:r w:rsidR="000165F2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,</w:t>
            </w:r>
            <w:r w:rsidRPr="00E21E1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при които се осъществява или е възможен контакт с води</w:t>
            </w:r>
            <w:r w:rsidR="008F4D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573B28" w:rsidRPr="00650BF8" w:rsidRDefault="00573B28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1C4758" w:rsidRPr="00650BF8" w:rsidRDefault="001C4758" w:rsidP="001C4758">
            <w:pPr>
              <w:tabs>
                <w:tab w:val="right" w:leader="dot" w:pos="4394"/>
              </w:tabs>
              <w:spacing w:before="57"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7. Очаквани общи емисии на вредни вещества във въздуха по замърсители:</w:t>
            </w:r>
          </w:p>
          <w:p w:rsidR="00D96F86" w:rsidRPr="00F94B06" w:rsidRDefault="00D96F86" w:rsidP="00D96F86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</w:pPr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По време на строителството се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очакват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минимални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количества от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емисии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на вредни вещества, които ще се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отделят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главно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от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превозните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средства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доставящи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строителни мат</w:t>
            </w:r>
            <w:r w:rsidR="000B6FB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ериали и </w:t>
            </w:r>
            <w:proofErr w:type="spellStart"/>
            <w:r w:rsidR="000B6FB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при</w:t>
            </w:r>
            <w:proofErr w:type="spellEnd"/>
            <w:r w:rsidR="000B6FB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B6FB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изкопните</w:t>
            </w:r>
            <w:proofErr w:type="spellEnd"/>
            <w:r w:rsidR="000B6FB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работи – </w:t>
            </w:r>
            <w:proofErr w:type="spellStart"/>
            <w:r w:rsidR="000B6FB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е</w:t>
            </w:r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мисии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от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прах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При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експлоатацията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на обекта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се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lastRenderedPageBreak/>
              <w:t>очаква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отделяне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на вредни вещества,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поради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характера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на инвестиционното предложение.</w:t>
            </w:r>
          </w:p>
          <w:p w:rsidR="001C4758" w:rsidRPr="00650BF8" w:rsidRDefault="001C4758" w:rsidP="001C4758">
            <w:pPr>
              <w:tabs>
                <w:tab w:val="right" w:leader="dot" w:pos="4394"/>
              </w:tabs>
              <w:spacing w:before="57"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8. Отпадъци, които се очаква да се генерират, и предвиждания за тяхното третиране:</w:t>
            </w:r>
          </w:p>
          <w:p w:rsidR="00D96F86" w:rsidRPr="00F94B06" w:rsidRDefault="00D96F86" w:rsidP="00D96F86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</w:pPr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По време на строителството ще се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генерират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строителни отпадъци. По време на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експлоатацията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на обекта ще се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генерират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битови отпадъци.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Управлението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генерираните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отпадъци ще се извършва съгласно изискванията на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Закона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управление на отпадъците и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подзаконовите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нормативни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актове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>към</w:t>
            </w:r>
            <w:proofErr w:type="spellEnd"/>
            <w:r w:rsidRPr="00F94B0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shd w:val="clear" w:color="auto" w:fill="FFFFFF"/>
              </w:rPr>
              <w:t xml:space="preserve"> него.</w:t>
            </w:r>
            <w:r w:rsidRPr="00F94B06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</w:t>
            </w:r>
          </w:p>
          <w:p w:rsidR="00573B28" w:rsidRPr="00B03AE3" w:rsidRDefault="00573B28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FC5971" w:rsidRDefault="00FC5971" w:rsidP="001C4758">
            <w:pPr>
              <w:tabs>
                <w:tab w:val="right" w:leader="dot" w:pos="4394"/>
              </w:tabs>
              <w:spacing w:before="57"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758" w:rsidRPr="001C4758" w:rsidRDefault="001C4758" w:rsidP="001C4758">
            <w:pPr>
              <w:tabs>
                <w:tab w:val="right" w:leader="dot" w:pos="4394"/>
              </w:tabs>
              <w:spacing w:before="57"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58">
              <w:rPr>
                <w:rFonts w:ascii="Times New Roman" w:eastAsia="Times New Roman" w:hAnsi="Times New Roman" w:cs="Times New Roman"/>
                <w:sz w:val="24"/>
                <w:szCs w:val="24"/>
              </w:rPr>
              <w:t>9. Отпадъчни води:</w:t>
            </w:r>
          </w:p>
          <w:p w:rsidR="001C4758" w:rsidRPr="001C4758" w:rsidRDefault="001C4758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(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очаквано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количество и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вид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на формираните отпадъчни води по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потоци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(битови, промишлени и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др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.),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сезонност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предвидени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начини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за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третирането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им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пречиствателна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станция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/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съоръжение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и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др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.), отвеждане и заустване в канализационна система/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повърхностен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воден обект/водоплътна изгребна яма и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др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.)</w:t>
            </w:r>
          </w:p>
          <w:p w:rsidR="00BD5DCB" w:rsidRDefault="00123FE1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</w:pPr>
            <w:r w:rsidRPr="00123FE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Производс</w:t>
            </w:r>
            <w:r w:rsidR="0077048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т</w:t>
            </w:r>
            <w:r w:rsidRPr="00123FE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вени отпадъчни води не се формират. </w:t>
            </w:r>
          </w:p>
          <w:p w:rsidR="00BD5DCB" w:rsidRDefault="00BD5DCB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Отпадните води ще се акумулират във водоплътна </w:t>
            </w:r>
            <w:r w:rsidR="000165F2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изгребна 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ям</w:t>
            </w:r>
            <w:r w:rsidR="000165F2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а</w:t>
            </w:r>
            <w:r w:rsidR="008F4DF7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като периодично ще се извозват до най-близката пречиствателна станция за отпадни води.</w:t>
            </w:r>
          </w:p>
          <w:p w:rsidR="001C4758" w:rsidRPr="00B03AE3" w:rsidRDefault="00123FE1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23FE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Дъждовн</w:t>
            </w:r>
            <w:r w:rsidR="008F4DF7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и отпадъчни води ще се</w:t>
            </w:r>
            <w:r w:rsidR="00BD5DC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отвеждат към зелените площи на имота</w:t>
            </w:r>
            <w:r w:rsidR="001C4758" w:rsidRPr="00B03A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BD5DC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1C4758" w:rsidRPr="00B03AE3" w:rsidRDefault="001C4758" w:rsidP="001C4758">
            <w:pPr>
              <w:tabs>
                <w:tab w:val="right" w:leader="dot" w:pos="4394"/>
              </w:tabs>
              <w:spacing w:before="57"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3A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1C4758" w:rsidRPr="00B03AE3" w:rsidRDefault="001C4758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03A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(в случаите по </w:t>
            </w:r>
            <w:hyperlink r:id="rId6" w:tgtFrame="_self" w:history="1">
              <w:r w:rsidRPr="00B03AE3">
                <w:rPr>
                  <w:rFonts w:ascii="Times New Roman" w:eastAsia="Times New Roman" w:hAnsi="Times New Roman" w:cs="Times New Roman"/>
                  <w:bCs/>
                  <w:i/>
                  <w:sz w:val="20"/>
                  <w:szCs w:val="20"/>
                  <w:lang w:val="bg-BG"/>
                </w:rPr>
                <w:t>чл. 99б ЗООС</w:t>
              </w:r>
            </w:hyperlink>
            <w:r w:rsidRPr="00B03A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се представя информация за вида и количеството на опасните вещества, които ще са налични в предприятието/съоръжението съгласно </w:t>
            </w:r>
            <w:hyperlink r:id="rId7" w:tgtFrame="_self" w:history="1">
              <w:r w:rsidRPr="00B03AE3">
                <w:rPr>
                  <w:rFonts w:ascii="Times New Roman" w:eastAsia="Times New Roman" w:hAnsi="Times New Roman" w:cs="Times New Roman"/>
                  <w:bCs/>
                  <w:i/>
                  <w:sz w:val="20"/>
                  <w:szCs w:val="20"/>
                  <w:lang w:val="bg-BG"/>
                </w:rPr>
                <w:t>приложение № 1</w:t>
              </w:r>
            </w:hyperlink>
            <w:r w:rsidRPr="00B03A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 xml:space="preserve"> към Наредбата за предотвратяване на големи аварии и ограничаване на последствията от тях)</w:t>
            </w:r>
          </w:p>
          <w:p w:rsidR="001C4758" w:rsidRPr="00B03AE3" w:rsidRDefault="00123FE1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23FE1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В технологичния процес не се използва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>т вещества включени в Приложение 3 за химични опасни вещества от ЗООС</w:t>
            </w:r>
            <w:r w:rsidR="003F09D3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...........</w:t>
            </w:r>
            <w:r w:rsidR="001C4758" w:rsidRPr="00B03A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</w:t>
            </w:r>
          </w:p>
          <w:p w:rsidR="001C4758" w:rsidRPr="001C4758" w:rsidRDefault="001C4758" w:rsidP="001C4758">
            <w:pPr>
              <w:tabs>
                <w:tab w:val="right" w:leader="dot" w:pos="4394"/>
              </w:tabs>
              <w:spacing w:before="57"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3A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І. Моля да ни информирате за необходимите действия, които трябва да предприемем, по реда на </w:t>
            </w:r>
            <w:hyperlink r:id="rId8" w:tgtFrame="_self" w:history="1">
              <w:r w:rsidRPr="00B03A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bg-BG"/>
                </w:rPr>
                <w:t>глава шеста ЗООС</w:t>
              </w:r>
            </w:hyperlink>
            <w:r w:rsidRPr="00B03A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Моля, на основание </w:t>
            </w:r>
            <w:hyperlink r:id="rId9" w:tgtFrame="_self" w:history="1">
              <w:r w:rsidRPr="00B03A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bg-BG"/>
                </w:rPr>
                <w:t>чл. 93, ал. 9, т. 1 ЗООС</w:t>
              </w:r>
            </w:hyperlink>
            <w:r w:rsidRPr="00B03A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да се проведе задължителна ОВОС, без да се извършва преценка.</w:t>
            </w:r>
          </w:p>
          <w:p w:rsidR="001C4758" w:rsidRPr="00650BF8" w:rsidRDefault="00FC5971" w:rsidP="00FC5971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</w:t>
            </w:r>
            <w:r w:rsidR="001C4758"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ІІ. Друга информация </w:t>
            </w:r>
            <w:r w:rsidR="001C4758" w:rsidRPr="00650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>(не е задължително за попълване)</w:t>
            </w:r>
          </w:p>
          <w:p w:rsidR="001C4758" w:rsidRPr="00650BF8" w:rsidRDefault="001C4758" w:rsidP="001C4758">
            <w:pPr>
              <w:tabs>
                <w:tab w:val="right" w:leader="dot" w:pos="4394"/>
              </w:tabs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Моля да бъде допуснато извършването само на ОВОС (в случаите по </w:t>
            </w:r>
            <w:hyperlink r:id="rId10" w:tgtFrame="_self" w:history="1">
              <w:r w:rsidRPr="00650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bg-BG"/>
                </w:rPr>
                <w:t>чл. 91, ал. 2 ЗООС</w:t>
              </w:r>
            </w:hyperlink>
            <w:r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когато за инвестиционно предложение, включено в </w:t>
            </w:r>
            <w:hyperlink r:id="rId11" w:tgtFrame="_self" w:history="1">
              <w:r w:rsidRPr="00650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bg-BG"/>
                </w:rPr>
                <w:t>приложение № 1</w:t>
              </w:r>
            </w:hyperlink>
            <w:r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или в </w:t>
            </w:r>
            <w:hyperlink r:id="rId12" w:tgtFrame="_self" w:history="1">
              <w:r w:rsidRPr="00650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bg-BG"/>
                </w:rPr>
                <w:t>приложение № 2 към ЗООС</w:t>
              </w:r>
            </w:hyperlink>
            <w:r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се изисква и изготвянето на самостоятелен план или програма по </w:t>
            </w:r>
            <w:hyperlink r:id="rId13" w:tgtFrame="_self" w:history="1">
              <w:r w:rsidRPr="00650BF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bg-BG"/>
                </w:rPr>
                <w:t>чл. 85, ал. 1 и 2 ЗООС</w:t>
              </w:r>
            </w:hyperlink>
            <w:r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 поради следните основания (мотиви):</w:t>
            </w:r>
          </w:p>
          <w:p w:rsidR="001C4758" w:rsidRPr="00650BF8" w:rsidRDefault="001C4758" w:rsidP="001C4758">
            <w:pPr>
              <w:tabs>
                <w:tab w:val="right" w:leader="dot" w:pos="4394"/>
              </w:tabs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</w:t>
            </w:r>
          </w:p>
          <w:p w:rsidR="001C4758" w:rsidRPr="00650BF8" w:rsidRDefault="001C4758" w:rsidP="001C4758">
            <w:pPr>
              <w:tabs>
                <w:tab w:val="right" w:leader="dot" w:pos="4394"/>
              </w:tabs>
              <w:spacing w:before="57"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Прилагам:</w:t>
            </w:r>
          </w:p>
          <w:p w:rsidR="001C4758" w:rsidRPr="00650BF8" w:rsidRDefault="001C4758" w:rsidP="001C4758">
            <w:pPr>
              <w:tabs>
                <w:tab w:val="right" w:leader="dot" w:pos="4394"/>
              </w:tabs>
              <w:spacing w:before="57"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Документ</w:t>
            </w:r>
            <w:r w:rsidR="00123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доказващ</w:t>
            </w:r>
            <w:r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23F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обявяването на предложението на интернет страницата на Възложителя, ако има такава, чрез средствата за масово осведомляване или по друг подходящ начин</w:t>
            </w:r>
            <w:r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1C4758" w:rsidRPr="00650BF8" w:rsidRDefault="001C4758" w:rsidP="001C4758">
            <w:pPr>
              <w:tabs>
                <w:tab w:val="right" w:leader="dot" w:pos="4394"/>
              </w:tabs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1C4758" w:rsidRPr="00650BF8" w:rsidRDefault="001C4758" w:rsidP="001C4758">
            <w:pPr>
              <w:tabs>
                <w:tab w:val="right" w:leader="dot" w:pos="4394"/>
              </w:tabs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Други документи по преценка на уведомителя:</w:t>
            </w:r>
          </w:p>
          <w:p w:rsidR="001C4758" w:rsidRPr="00650BF8" w:rsidRDefault="001C4758" w:rsidP="001C4758">
            <w:pPr>
              <w:tabs>
                <w:tab w:val="right" w:leader="dot" w:pos="4394"/>
              </w:tabs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3.1. допълнителна информация/документация, поясняваща инвестиционното </w:t>
            </w:r>
            <w:r w:rsidRPr="00650BF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предложение;</w:t>
            </w:r>
          </w:p>
          <w:p w:rsidR="001C4758" w:rsidRPr="00B03AE3" w:rsidRDefault="001C4758" w:rsidP="001C4758">
            <w:pPr>
              <w:tabs>
                <w:tab w:val="right" w:leader="dot" w:pos="4394"/>
              </w:tabs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3A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3.2. картен материал, схема, снимков материал, актуална скица на имота и др. в подходящ мащаб.</w:t>
            </w:r>
          </w:p>
          <w:p w:rsidR="001C4758" w:rsidRPr="001C4758" w:rsidRDefault="001C4758" w:rsidP="001C4758">
            <w:pPr>
              <w:tabs>
                <w:tab w:val="right" w:leader="dot" w:pos="4394"/>
              </w:tabs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Електронен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 </w:t>
            </w:r>
            <w:proofErr w:type="spellStart"/>
            <w:r w:rsidRPr="001C4758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1C47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C4758" w:rsidRPr="004A28D6" w:rsidRDefault="004A28D6" w:rsidP="004A28D6">
            <w:pPr>
              <w:tabs>
                <w:tab w:val="right" w:leader="dot" w:pos="4394"/>
              </w:tabs>
              <w:spacing w:after="0" w:line="268" w:lineRule="auto"/>
              <w:ind w:firstLine="283"/>
              <w:jc w:val="both"/>
              <w:textAlignment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123FE1" w:rsidRPr="001C4758" w:rsidTr="001C4758">
        <w:tblPrEx>
          <w:tblCellSpacing w:w="15" w:type="dxa"/>
        </w:tblPrEx>
        <w:trPr>
          <w:gridBefore w:val="1"/>
          <w:gridAfter w:val="1"/>
          <w:wBefore w:w="78" w:type="dxa"/>
          <w:wAfter w:w="8044" w:type="dxa"/>
          <w:tblCellSpacing w:w="15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180" w:rightFromText="180" w:vertAnchor="text" w:horzAnchor="margin" w:tblpY="-51"/>
              <w:tblOverlap w:val="never"/>
              <w:tblW w:w="9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5"/>
              <w:gridCol w:w="4585"/>
            </w:tblGrid>
            <w:tr w:rsidR="001C4758" w:rsidRPr="001C4758" w:rsidTr="001C4758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C4758" w:rsidRPr="001C4758" w:rsidRDefault="004A28D6" w:rsidP="004945FB">
                  <w:pPr>
                    <w:tabs>
                      <w:tab w:val="right" w:leader="dot" w:pos="4394"/>
                    </w:tabs>
                    <w:spacing w:after="0" w:line="268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Дата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4945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  <w:r w:rsidR="008301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.</w:t>
                  </w:r>
                  <w:r w:rsidR="00587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0</w:t>
                  </w:r>
                  <w:r w:rsidR="00FD3E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.</w:t>
                  </w:r>
                  <w:r w:rsidR="00FC59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20</w:t>
                  </w:r>
                  <w:r w:rsidR="00B64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2</w:t>
                  </w:r>
                  <w:r w:rsidR="00FD3E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г</w:t>
                  </w:r>
                  <w:r w:rsidR="00FC59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.</w:t>
                  </w:r>
                </w:p>
              </w:tc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C5971" w:rsidRDefault="000165F2" w:rsidP="00B03AE3">
                  <w:pPr>
                    <w:tabs>
                      <w:tab w:val="right" w:leader="dot" w:pos="4394"/>
                    </w:tabs>
                    <w:spacing w:after="0" w:line="268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 xml:space="preserve">             </w:t>
                  </w:r>
                  <w:proofErr w:type="spellStart"/>
                  <w:r w:rsidR="001C4758" w:rsidRPr="001C47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Уведомител</w:t>
                  </w:r>
                  <w:proofErr w:type="spellEnd"/>
                  <w:r w:rsidR="001C4758" w:rsidRPr="001C47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.........................</w:t>
                  </w:r>
                </w:p>
                <w:p w:rsidR="001C4758" w:rsidRPr="001C4758" w:rsidRDefault="00FC5971" w:rsidP="00B03AE3">
                  <w:pPr>
                    <w:tabs>
                      <w:tab w:val="right" w:leader="dot" w:pos="4394"/>
                    </w:tabs>
                    <w:spacing w:after="0" w:line="268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 xml:space="preserve">                                  </w:t>
                  </w:r>
                  <w:r w:rsidR="001C4758" w:rsidRPr="001C475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="001C4758" w:rsidRPr="001C475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подпис</w:t>
                  </w:r>
                  <w:proofErr w:type="spellEnd"/>
                  <w:r w:rsidR="001C4758" w:rsidRPr="001C475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1C4758" w:rsidRPr="001C4758" w:rsidRDefault="001C4758" w:rsidP="001C4758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758" w:rsidRPr="001C4758" w:rsidRDefault="001C4758" w:rsidP="001C4758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758" w:rsidRPr="001C4758" w:rsidRDefault="001C4758" w:rsidP="001C4758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758" w:rsidRPr="001C4758" w:rsidRDefault="001C4758" w:rsidP="001C4758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</w:tbl>
    <w:p w:rsidR="009915F9" w:rsidRDefault="009915F9">
      <w:bookmarkStart w:id="0" w:name="_GoBack"/>
      <w:bookmarkEnd w:id="0"/>
    </w:p>
    <w:sectPr w:rsidR="009915F9" w:rsidSect="00B0740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55BF"/>
    <w:rsid w:val="0001547B"/>
    <w:rsid w:val="000165F2"/>
    <w:rsid w:val="0004420B"/>
    <w:rsid w:val="00073E88"/>
    <w:rsid w:val="000B09FD"/>
    <w:rsid w:val="000B30B4"/>
    <w:rsid w:val="000B6FB1"/>
    <w:rsid w:val="000D0A2F"/>
    <w:rsid w:val="000E78DC"/>
    <w:rsid w:val="00110EB8"/>
    <w:rsid w:val="00111B59"/>
    <w:rsid w:val="00123FE1"/>
    <w:rsid w:val="00147EF6"/>
    <w:rsid w:val="00180D07"/>
    <w:rsid w:val="001A7175"/>
    <w:rsid w:val="001B60BA"/>
    <w:rsid w:val="001C4758"/>
    <w:rsid w:val="001C53A7"/>
    <w:rsid w:val="001C61C8"/>
    <w:rsid w:val="001D7D70"/>
    <w:rsid w:val="001F6261"/>
    <w:rsid w:val="002634BF"/>
    <w:rsid w:val="00270AEF"/>
    <w:rsid w:val="002A4B61"/>
    <w:rsid w:val="002B4F72"/>
    <w:rsid w:val="002F00A5"/>
    <w:rsid w:val="003425B9"/>
    <w:rsid w:val="003875D6"/>
    <w:rsid w:val="00390A80"/>
    <w:rsid w:val="003C5D3B"/>
    <w:rsid w:val="003F09D3"/>
    <w:rsid w:val="003F76B3"/>
    <w:rsid w:val="004271B1"/>
    <w:rsid w:val="0046002A"/>
    <w:rsid w:val="00476791"/>
    <w:rsid w:val="004945FB"/>
    <w:rsid w:val="004A28D6"/>
    <w:rsid w:val="004B6AA1"/>
    <w:rsid w:val="004D2D07"/>
    <w:rsid w:val="00505A94"/>
    <w:rsid w:val="005503EB"/>
    <w:rsid w:val="00556A27"/>
    <w:rsid w:val="00573B28"/>
    <w:rsid w:val="00576922"/>
    <w:rsid w:val="00587269"/>
    <w:rsid w:val="00587E75"/>
    <w:rsid w:val="00594E4D"/>
    <w:rsid w:val="005C6808"/>
    <w:rsid w:val="005D55BF"/>
    <w:rsid w:val="005E4A11"/>
    <w:rsid w:val="00605209"/>
    <w:rsid w:val="00650BF8"/>
    <w:rsid w:val="006A727A"/>
    <w:rsid w:val="006D5A07"/>
    <w:rsid w:val="006F6578"/>
    <w:rsid w:val="007620FD"/>
    <w:rsid w:val="00770480"/>
    <w:rsid w:val="0077691D"/>
    <w:rsid w:val="007A7533"/>
    <w:rsid w:val="007D7142"/>
    <w:rsid w:val="008126C8"/>
    <w:rsid w:val="0081372C"/>
    <w:rsid w:val="0083016D"/>
    <w:rsid w:val="00865517"/>
    <w:rsid w:val="00867493"/>
    <w:rsid w:val="00881A6E"/>
    <w:rsid w:val="00892439"/>
    <w:rsid w:val="008A2B03"/>
    <w:rsid w:val="008B4EDC"/>
    <w:rsid w:val="008C3C1A"/>
    <w:rsid w:val="008F4DF7"/>
    <w:rsid w:val="00926F26"/>
    <w:rsid w:val="00944E99"/>
    <w:rsid w:val="00976F68"/>
    <w:rsid w:val="009915F9"/>
    <w:rsid w:val="009B28B1"/>
    <w:rsid w:val="00A4433B"/>
    <w:rsid w:val="00A479F7"/>
    <w:rsid w:val="00A50A39"/>
    <w:rsid w:val="00A61A8D"/>
    <w:rsid w:val="00A6701D"/>
    <w:rsid w:val="00A76178"/>
    <w:rsid w:val="00A94045"/>
    <w:rsid w:val="00AA3BAB"/>
    <w:rsid w:val="00AE5381"/>
    <w:rsid w:val="00AF0D07"/>
    <w:rsid w:val="00B03AE3"/>
    <w:rsid w:val="00B0740E"/>
    <w:rsid w:val="00B155D8"/>
    <w:rsid w:val="00B60DA3"/>
    <w:rsid w:val="00B646B8"/>
    <w:rsid w:val="00B94C2D"/>
    <w:rsid w:val="00BC0DA0"/>
    <w:rsid w:val="00BD5DCB"/>
    <w:rsid w:val="00BE527C"/>
    <w:rsid w:val="00C31FE1"/>
    <w:rsid w:val="00C54A4C"/>
    <w:rsid w:val="00CD7AE6"/>
    <w:rsid w:val="00D4162E"/>
    <w:rsid w:val="00D62838"/>
    <w:rsid w:val="00D72EDF"/>
    <w:rsid w:val="00D74E15"/>
    <w:rsid w:val="00D847C9"/>
    <w:rsid w:val="00D9195A"/>
    <w:rsid w:val="00D92691"/>
    <w:rsid w:val="00D96F86"/>
    <w:rsid w:val="00D972B7"/>
    <w:rsid w:val="00DB18B2"/>
    <w:rsid w:val="00DD103D"/>
    <w:rsid w:val="00DE74DD"/>
    <w:rsid w:val="00E21E1C"/>
    <w:rsid w:val="00E52B7B"/>
    <w:rsid w:val="00E87365"/>
    <w:rsid w:val="00EA1DBD"/>
    <w:rsid w:val="00ED619D"/>
    <w:rsid w:val="00F357C7"/>
    <w:rsid w:val="00FC5971"/>
    <w:rsid w:val="00FD3E93"/>
    <w:rsid w:val="00FD5CA1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8663"/>
  <w15:docId w15:val="{6DCE22FC-3542-475C-9746-7F1DF58C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D6283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9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9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3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8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51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6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/Document/LinkToDocumentReference?fromDocumentId=2135464783&amp;dbId=0&amp;refId=19259722" TargetMode="External"/><Relationship Id="rId13" Type="http://schemas.openxmlformats.org/officeDocument/2006/relationships/hyperlink" Target="https://web6.ciela.net/Document/LinkToDocumentReference?fromDocumentId=2135464783&amp;dbId=0&amp;refId=192597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6.ciela.net/Document/LinkToDocumentReference?fromDocumentId=2135464783&amp;dbId=0&amp;refId=19259721" TargetMode="External"/><Relationship Id="rId12" Type="http://schemas.openxmlformats.org/officeDocument/2006/relationships/hyperlink" Target="https://web6.ciela.net/Document/LinkToDocumentReference?fromDocumentId=2135464783&amp;dbId=0&amp;refId=192597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6.ciela.net/Document/LinkToDocumentReference?fromDocumentId=2135464783&amp;dbId=0&amp;refId=19259720" TargetMode="External"/><Relationship Id="rId11" Type="http://schemas.openxmlformats.org/officeDocument/2006/relationships/hyperlink" Target="https://web6.ciela.net/Document/LinkToDocumentReference?fromDocumentId=2135464783&amp;dbId=0&amp;refId=19259724" TargetMode="External"/><Relationship Id="rId5" Type="http://schemas.openxmlformats.org/officeDocument/2006/relationships/hyperlink" Target="https://web6.ciela.net/Document/LinkToDocumentReference?fromDocumentId=2135464783&amp;dbId=0&amp;refId=192597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eb6.ciela.net/Document/LinkToDocumentReference?fromDocumentId=2135464783&amp;dbId=0&amp;refId=19259723" TargetMode="External"/><Relationship Id="rId4" Type="http://schemas.openxmlformats.org/officeDocument/2006/relationships/hyperlink" Target="https://web6.ciela.net/Document/LinkToDocumentReference?fromDocumentId=2135464783&amp;dbId=0&amp;refId=19259718" TargetMode="External"/><Relationship Id="rId9" Type="http://schemas.openxmlformats.org/officeDocument/2006/relationships/hyperlink" Target="https://web6.ciela.net/Document/LinkToDocumentReference?fromDocumentId=2135464783&amp;dbId=0&amp;refId=270401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1403</Words>
  <Characters>7999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ovos</dc:creator>
  <cp:lastModifiedBy>Vera Katsarova</cp:lastModifiedBy>
  <cp:revision>36</cp:revision>
  <cp:lastPrinted>2019-10-23T07:38:00Z</cp:lastPrinted>
  <dcterms:created xsi:type="dcterms:W3CDTF">2023-02-13T12:33:00Z</dcterms:created>
  <dcterms:modified xsi:type="dcterms:W3CDTF">2025-02-03T14:52:00Z</dcterms:modified>
</cp:coreProperties>
</file>