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A046" w14:textId="77777777" w:rsidR="00E8508D" w:rsidRPr="00415DE7" w:rsidRDefault="00E8508D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15DE7">
        <w:rPr>
          <w:rFonts w:ascii="Arial" w:hAnsi="Arial" w:cs="Arial"/>
          <w:sz w:val="24"/>
          <w:szCs w:val="24"/>
        </w:rPr>
        <w:t>Приложение № 5 към чл. 4, ал. 1</w:t>
      </w:r>
    </w:p>
    <w:p w14:paraId="76336522" w14:textId="77777777" w:rsidR="00E8508D" w:rsidRPr="00415DE7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415DE7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15DE7" w:rsidRPr="00415DE7" w14:paraId="38D72309" w14:textId="77777777" w:rsidTr="00E8508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BC309" w14:textId="04CCB374" w:rsidR="00E8508D" w:rsidRPr="00415DE7" w:rsidRDefault="00E8508D" w:rsidP="002C62A0">
            <w:pPr>
              <w:spacing w:before="57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ДО</w:t>
            </w:r>
          </w:p>
          <w:p w14:paraId="66357728" w14:textId="08FF989D" w:rsidR="002C62A0" w:rsidRDefault="00E8508D" w:rsidP="002C62A0">
            <w:pPr>
              <w:spacing w:before="100" w:beforeAutospacing="1" w:after="100" w:afterAutospacing="1" w:line="269" w:lineRule="atLeast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ДИРЕКТОРА НА РИОСВ </w:t>
            </w:r>
            <w:r w:rsidR="002C62A0">
              <w:rPr>
                <w:rFonts w:ascii="Book Antiqua" w:hAnsi="Book Antiqua" w:cs="Arial"/>
                <w:b/>
                <w:sz w:val="24"/>
                <w:szCs w:val="24"/>
              </w:rPr>
              <w:t xml:space="preserve">                   </w:t>
            </w:r>
          </w:p>
          <w:p w14:paraId="3A360983" w14:textId="26EDC844" w:rsidR="00E8508D" w:rsidRPr="00415DE7" w:rsidRDefault="002C62A0" w:rsidP="002C62A0">
            <w:pPr>
              <w:spacing w:before="100" w:beforeAutospacing="1" w:after="100" w:afterAutospacing="1" w:line="269" w:lineRule="atLeast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="009848CF" w:rsidRPr="00415DE7">
              <w:rPr>
                <w:rFonts w:ascii="Book Antiqua" w:hAnsi="Book Antiqua" w:cs="Arial"/>
                <w:b/>
                <w:sz w:val="24"/>
                <w:szCs w:val="24"/>
              </w:rPr>
              <w:t>ПЛОВДИВ</w:t>
            </w:r>
          </w:p>
          <w:p w14:paraId="4617A6E1" w14:textId="77777777" w:rsidR="00E8508D" w:rsidRPr="00415DE7" w:rsidRDefault="00E8508D" w:rsidP="00A64900">
            <w:pPr>
              <w:spacing w:before="113" w:after="57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  <w:r w:rsidR="00A64900" w:rsidRPr="00415DE7">
              <w:rPr>
                <w:rFonts w:ascii="Book Antiqua" w:hAnsi="Book Antiqua" w:cs="Arial"/>
                <w:sz w:val="24"/>
                <w:szCs w:val="24"/>
              </w:rPr>
              <w:t xml:space="preserve">                                                              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>УВЕДОМЛЕНИЕ</w:t>
            </w:r>
          </w:p>
          <w:p w14:paraId="1469D9BC" w14:textId="77777777" w:rsidR="00E8508D" w:rsidRPr="00415DE7" w:rsidRDefault="00E8508D" w:rsidP="00DC3F03">
            <w:pPr>
              <w:spacing w:before="113" w:after="57" w:line="269" w:lineRule="atLeast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за инвестиционно предложение</w:t>
            </w:r>
          </w:p>
          <w:p w14:paraId="02B182F1" w14:textId="77777777" w:rsidR="003724E3" w:rsidRDefault="00575728" w:rsidP="003724E3">
            <w:pPr>
              <w:spacing w:before="57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 xml:space="preserve"> „ЛАЙТ ХАУС“ ООД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</w:p>
          <w:p w14:paraId="6592E169" w14:textId="77777777" w:rsidR="003724E3" w:rsidRDefault="003724E3" w:rsidP="003724E3">
            <w:pPr>
              <w:spacing w:before="57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</w:p>
          <w:p w14:paraId="423A7CC0" w14:textId="6EF91B22" w:rsidR="00E8508D" w:rsidRPr="00415DE7" w:rsidRDefault="00E8508D" w:rsidP="003724E3">
            <w:pPr>
              <w:spacing w:before="57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УВАЖАЕМ</w:t>
            </w:r>
            <w:r w:rsidR="00E31080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Г</w:t>
            </w:r>
            <w:r w:rsidR="00A507C1" w:rsidRPr="00415DE7">
              <w:rPr>
                <w:rFonts w:ascii="Book Antiqua" w:hAnsi="Book Antiqua" w:cs="Arial"/>
                <w:sz w:val="24"/>
                <w:szCs w:val="24"/>
              </w:rPr>
              <w:t>ОСПОДИН</w:t>
            </w:r>
            <w:r w:rsidR="00E31080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ДИРЕКТОР,</w:t>
            </w:r>
          </w:p>
          <w:p w14:paraId="58D0AC43" w14:textId="37794F0B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Уведомяваме Ви, че </w:t>
            </w:r>
            <w:r w:rsidR="003724E3">
              <w:rPr>
                <w:rFonts w:ascii="Book Antiqua" w:hAnsi="Book Antiqua" w:cs="Arial"/>
                <w:sz w:val="24"/>
                <w:szCs w:val="24"/>
              </w:rPr>
              <w:t>…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има следното инвестиционно предложение:</w:t>
            </w:r>
          </w:p>
          <w:p w14:paraId="586D705D" w14:textId="01AE441C" w:rsidR="00E8508D" w:rsidRPr="00415DE7" w:rsidRDefault="00CD6C9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Изработване на проект ПУП-ПРЗ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 xml:space="preserve"> за промяна предназначението на земята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B8476B" w:rsidRPr="00415DE7">
              <w:rPr>
                <w:rFonts w:ascii="Book Antiqua" w:hAnsi="Book Antiqua" w:cs="Arial"/>
                <w:sz w:val="24"/>
                <w:szCs w:val="24"/>
              </w:rPr>
              <w:t>н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а</w:t>
            </w:r>
            <w:r w:rsidR="00B8476B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ПИ </w:t>
            </w:r>
            <w:r w:rsidR="004826A3" w:rsidRPr="00415DE7">
              <w:rPr>
                <w:rFonts w:ascii="Book Antiqua" w:hAnsi="Book Antiqua" w:cs="Arial"/>
                <w:sz w:val="24"/>
                <w:szCs w:val="24"/>
              </w:rPr>
              <w:t>03304.</w:t>
            </w:r>
            <w:r w:rsidR="003B08D1">
              <w:rPr>
                <w:rFonts w:ascii="Book Antiqua" w:hAnsi="Book Antiqua" w:cs="Arial"/>
                <w:sz w:val="24"/>
                <w:szCs w:val="24"/>
              </w:rPr>
              <w:t>2.20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–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511FCD" w:rsidRPr="00415DE7">
              <w:rPr>
                <w:rFonts w:ascii="Book Antiqua" w:hAnsi="Book Antiqua" w:cs="Arial"/>
                <w:sz w:val="24"/>
                <w:szCs w:val="24"/>
              </w:rPr>
              <w:t>нива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 xml:space="preserve"> с </w:t>
            </w:r>
            <w:r w:rsidR="00E77151" w:rsidRPr="00415DE7">
              <w:rPr>
                <w:rFonts w:ascii="Book Antiqua" w:hAnsi="Book Antiqua" w:cs="Arial"/>
                <w:sz w:val="24"/>
                <w:szCs w:val="24"/>
              </w:rPr>
              <w:t>площ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–</w:t>
            </w:r>
            <w:r w:rsidR="00FE3F8A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3B08D1">
              <w:rPr>
                <w:rFonts w:ascii="Book Antiqua" w:hAnsi="Book Antiqua" w:cs="Arial"/>
                <w:sz w:val="24"/>
                <w:szCs w:val="24"/>
              </w:rPr>
              <w:t>8251</w:t>
            </w:r>
            <w:r w:rsidR="00FF33CF">
              <w:rPr>
                <w:rFonts w:ascii="Book Antiqua" w:hAnsi="Book Antiqua" w:cs="Arial"/>
                <w:sz w:val="24"/>
                <w:szCs w:val="24"/>
              </w:rPr>
              <w:t>кв.м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. за </w:t>
            </w:r>
            <w:r w:rsidR="00257961" w:rsidRPr="00257961">
              <w:rPr>
                <w:rFonts w:ascii="Book Antiqua" w:hAnsi="Book Antiqua" w:cs="Arial"/>
                <w:b/>
                <w:sz w:val="24"/>
                <w:szCs w:val="24"/>
              </w:rPr>
              <w:t>„жилищно строителство“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,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местност „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Бялата воденица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” по кадастралната карта на 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>с</w:t>
            </w:r>
            <w:r w:rsidR="004826A3" w:rsidRPr="00415DE7">
              <w:rPr>
                <w:rFonts w:ascii="Book Antiqua" w:hAnsi="Book Antiqua" w:cs="Arial"/>
                <w:sz w:val="24"/>
                <w:szCs w:val="24"/>
              </w:rPr>
              <w:t>. Белащица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>, общ.</w:t>
            </w:r>
            <w:r w:rsidR="009A164A" w:rsidRPr="00415DE7">
              <w:rPr>
                <w:rFonts w:ascii="Book Antiqua" w:hAnsi="Book Antiqua" w:cs="Arial"/>
                <w:sz w:val="24"/>
                <w:szCs w:val="24"/>
              </w:rPr>
              <w:t xml:space="preserve"> “</w:t>
            </w:r>
            <w:r w:rsidR="00732052" w:rsidRPr="00415DE7">
              <w:rPr>
                <w:rFonts w:ascii="Book Antiqua" w:hAnsi="Book Antiqua" w:cs="Arial"/>
                <w:sz w:val="24"/>
                <w:szCs w:val="24"/>
              </w:rPr>
              <w:t>Родопи“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.</w:t>
            </w:r>
          </w:p>
          <w:p w14:paraId="797C7A72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14:paraId="37725F60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1. Резюме на предложението</w:t>
            </w:r>
          </w:p>
          <w:p w14:paraId="37AD0CB1" w14:textId="7C769D88" w:rsidR="002C62A0" w:rsidRDefault="00C4273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П</w:t>
            </w:r>
            <w:r w:rsidR="00CD6C9A" w:rsidRPr="00415DE7">
              <w:rPr>
                <w:rFonts w:ascii="Book Antiqua" w:hAnsi="Book Antiqua" w:cs="Arial"/>
                <w:sz w:val="24"/>
                <w:szCs w:val="24"/>
              </w:rPr>
              <w:t xml:space="preserve">роект 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ПУП-ПРЗ на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 xml:space="preserve"> ПИ 03304.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2.20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 xml:space="preserve"> – нива с площ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 xml:space="preserve"> – 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8251</w:t>
            </w:r>
            <w:r w:rsidR="00257961">
              <w:rPr>
                <w:rFonts w:ascii="Book Antiqua" w:hAnsi="Book Antiqua" w:cs="Arial"/>
                <w:sz w:val="24"/>
                <w:szCs w:val="24"/>
              </w:rPr>
              <w:t>кв.м</w:t>
            </w:r>
            <w:r w:rsidR="00FE3F8A" w:rsidRPr="00415DE7">
              <w:rPr>
                <w:rFonts w:ascii="Book Antiqua" w:hAnsi="Book Antiqua" w:cs="Arial"/>
                <w:sz w:val="24"/>
                <w:szCs w:val="24"/>
              </w:rPr>
              <w:t xml:space="preserve">. местност 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>„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Бялата воденица</w:t>
            </w:r>
            <w:r w:rsidR="00257961" w:rsidRPr="00415DE7">
              <w:rPr>
                <w:rFonts w:ascii="Book Antiqua" w:hAnsi="Book Antiqua" w:cs="Arial"/>
                <w:sz w:val="24"/>
                <w:szCs w:val="24"/>
              </w:rPr>
              <w:t>”</w:t>
            </w:r>
            <w:r w:rsidR="00FE3F8A" w:rsidRPr="00415DE7">
              <w:rPr>
                <w:rFonts w:ascii="Book Antiqua" w:hAnsi="Book Antiqua" w:cs="Arial"/>
                <w:sz w:val="24"/>
                <w:szCs w:val="24"/>
              </w:rPr>
              <w:t xml:space="preserve"> по кадастралната карта на с. Белащица, </w:t>
            </w:r>
            <w:r w:rsidR="00522E85" w:rsidRPr="00415DE7">
              <w:rPr>
                <w:rFonts w:ascii="Book Antiqua" w:hAnsi="Book Antiqua" w:cs="Arial"/>
                <w:sz w:val="24"/>
                <w:szCs w:val="24"/>
              </w:rPr>
              <w:t>за промяна предназначението на земята</w:t>
            </w:r>
            <w:r w:rsidR="007F16BD" w:rsidRPr="00415DE7">
              <w:rPr>
                <w:rFonts w:ascii="Book Antiqua" w:hAnsi="Book Antiqua" w:cs="Arial"/>
                <w:sz w:val="24"/>
                <w:szCs w:val="24"/>
              </w:rPr>
              <w:t xml:space="preserve">, което е необходимо за последващо проектиране на 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1</w:t>
            </w:r>
            <w:r w:rsidR="00F707F2">
              <w:rPr>
                <w:rFonts w:ascii="Book Antiqua" w:hAnsi="Book Antiqua" w:cs="Arial"/>
                <w:b/>
                <w:sz w:val="24"/>
                <w:szCs w:val="24"/>
              </w:rPr>
              <w:t>4</w:t>
            </w:r>
            <w:r w:rsidR="00FE3F8A" w:rsidRPr="00AD2D63">
              <w:rPr>
                <w:rFonts w:ascii="Book Antiqua" w:hAnsi="Book Antiqua" w:cs="Arial"/>
                <w:b/>
                <w:sz w:val="24"/>
                <w:szCs w:val="24"/>
              </w:rPr>
              <w:t>/</w:t>
            </w:r>
            <w:r w:rsidR="00F707F2">
              <w:rPr>
                <w:rFonts w:ascii="Book Antiqua" w:hAnsi="Book Antiqua" w:cs="Arial"/>
                <w:b/>
                <w:sz w:val="24"/>
                <w:szCs w:val="24"/>
              </w:rPr>
              <w:t>четери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надесет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>/ жилищни сгради</w:t>
            </w:r>
            <w:r w:rsidR="00B55606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="00F95970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в 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1</w:t>
            </w:r>
            <w:r w:rsidR="00F707F2">
              <w:rPr>
                <w:rFonts w:ascii="Book Antiqua" w:hAnsi="Book Antiqua" w:cs="Arial"/>
                <w:b/>
                <w:sz w:val="24"/>
                <w:szCs w:val="24"/>
              </w:rPr>
              <w:t>4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>/</w:t>
            </w:r>
            <w:r w:rsidR="00F707F2">
              <w:rPr>
                <w:rFonts w:ascii="Book Antiqua" w:hAnsi="Book Antiqua" w:cs="Arial"/>
                <w:b/>
                <w:sz w:val="24"/>
                <w:szCs w:val="24"/>
              </w:rPr>
              <w:t>четери</w:t>
            </w:r>
            <w:r w:rsidR="00257961">
              <w:rPr>
                <w:rFonts w:ascii="Book Antiqua" w:hAnsi="Book Antiqua" w:cs="Arial"/>
                <w:b/>
                <w:sz w:val="24"/>
                <w:szCs w:val="24"/>
              </w:rPr>
              <w:t>надесет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 xml:space="preserve">/ </w:t>
            </w:r>
            <w:r w:rsidR="007F16BD" w:rsidRPr="00415DE7">
              <w:rPr>
                <w:rFonts w:ascii="Book Antiqua" w:hAnsi="Book Antiqua" w:cs="Arial"/>
                <w:b/>
                <w:sz w:val="24"/>
                <w:szCs w:val="24"/>
              </w:rPr>
              <w:t>новообразуван</w:t>
            </w:r>
            <w:r w:rsidR="00FE3F8A">
              <w:rPr>
                <w:rFonts w:ascii="Book Antiqua" w:hAnsi="Book Antiqua" w:cs="Arial"/>
                <w:b/>
                <w:sz w:val="24"/>
                <w:szCs w:val="24"/>
              </w:rPr>
              <w:t>и</w:t>
            </w:r>
            <w:r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УПИ</w:t>
            </w:r>
            <w:r w:rsidR="00B029CD" w:rsidRPr="00415DE7"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  <w:r w:rsidR="00522E85" w:rsidRPr="00415DE7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="002C62A0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</w:p>
          <w:p w14:paraId="57CAEDD3" w14:textId="3C0D11C1" w:rsidR="00E8508D" w:rsidRPr="002C62A0" w:rsidRDefault="00CD6C9A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E8508D" w:rsidRPr="00415DE7">
              <w:rPr>
                <w:rFonts w:ascii="Book Antiqua" w:hAnsi="Book Antiqua" w:cs="Arial"/>
                <w:sz w:val="24"/>
                <w:szCs w:val="24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14:paraId="1F12A546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14:paraId="295B3E4E" w14:textId="5C19CB66" w:rsidR="00E8508D" w:rsidRPr="00415DE7" w:rsidRDefault="00E813B5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    Към настоящия момент обекта е с НТП-</w:t>
            </w:r>
            <w:r w:rsidR="005B55B3" w:rsidRPr="00415DE7">
              <w:rPr>
                <w:rFonts w:ascii="Book Antiqua" w:hAnsi="Book Antiqua" w:cs="Arial"/>
                <w:sz w:val="24"/>
                <w:szCs w:val="24"/>
              </w:rPr>
              <w:t>нива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F95970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Ще бъдат изработени всички проекти, необходими за процедурата по промяна предназначението на имота и обособяването на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осем</w:t>
            </w:r>
            <w:r w:rsidR="00371E89">
              <w:rPr>
                <w:rFonts w:ascii="Book Antiqua" w:hAnsi="Book Antiqua" w:cs="Arial"/>
                <w:sz w:val="24"/>
                <w:szCs w:val="24"/>
              </w:rPr>
              <w:t>надесет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УПИ, изискващи се по ЗУТ: проекти по част Електро 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съгласуван с „ЕРЮГ”</w:t>
            </w:r>
            <w:r w:rsidRPr="00415DE7">
              <w:rPr>
                <w:rFonts w:ascii="Book Antiqua" w:hAnsi="Book Antiqua" w:cs="Arial"/>
                <w:sz w:val="24"/>
                <w:szCs w:val="24"/>
                <w:lang w:val="en-US"/>
              </w:rPr>
              <w:t>EVN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група, част ВиК-съгласуван с ВиК-Пловдив и част Пътна-съгласуван с КАТ</w:t>
            </w:r>
            <w:r w:rsidR="00CC1B0D" w:rsidRPr="00415DE7">
              <w:rPr>
                <w:rFonts w:ascii="Book Antiqua" w:hAnsi="Book Antiqua" w:cs="Arial"/>
                <w:sz w:val="24"/>
                <w:szCs w:val="24"/>
              </w:rPr>
              <w:t>-Пловдив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</w:p>
          <w:p w14:paraId="2C7201F1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14:paraId="2CC13898" w14:textId="77777777" w:rsidR="00E8508D" w:rsidRPr="00415DE7" w:rsidRDefault="00CC1B0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0BA4E1FC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4. Местоположение:</w:t>
            </w:r>
          </w:p>
          <w:p w14:paraId="4F7E2DF4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14:paraId="36B5C654" w14:textId="0934BCD2" w:rsidR="00E8508D" w:rsidRPr="00415DE7" w:rsidRDefault="00E70AB4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      </w:t>
            </w:r>
            <w:r w:rsidR="008D7C0E" w:rsidRPr="00415DE7">
              <w:rPr>
                <w:rFonts w:ascii="Book Antiqua" w:hAnsi="Book Antiqua" w:cs="Arial"/>
                <w:sz w:val="24"/>
                <w:szCs w:val="24"/>
              </w:rPr>
              <w:t>Имотът се намира на около</w:t>
            </w:r>
            <w:r w:rsidR="001D01D8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3000 метра</w:t>
            </w:r>
            <w:r w:rsidR="009A7783" w:rsidRPr="00415DE7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север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озападно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 xml:space="preserve"> от крайната регулация на с.Белащица, на около 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280</w:t>
            </w:r>
            <w:r w:rsidR="007E37EC">
              <w:rPr>
                <w:rFonts w:ascii="Book Antiqua" w:hAnsi="Book Antiqua" w:cs="Arial"/>
                <w:sz w:val="24"/>
                <w:szCs w:val="24"/>
              </w:rPr>
              <w:t xml:space="preserve"> метра 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северно</w:t>
            </w:r>
            <w:r w:rsidR="00207A2F" w:rsidRPr="00415DE7">
              <w:rPr>
                <w:rFonts w:ascii="Book Antiqua" w:hAnsi="Book Antiqua" w:cs="Arial"/>
                <w:sz w:val="24"/>
                <w:szCs w:val="24"/>
              </w:rPr>
              <w:t xml:space="preserve"> от околовръстния път на 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гр. Пловдив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="008029AF" w:rsidRPr="00415DE7">
              <w:rPr>
                <w:rFonts w:ascii="Book Antiqua" w:hAnsi="Book Antiqua" w:cs="Arial"/>
                <w:sz w:val="24"/>
                <w:szCs w:val="24"/>
              </w:rPr>
              <w:t>Транспортния</w:t>
            </w:r>
            <w:r w:rsidR="00BD72EB" w:rsidRPr="00415DE7">
              <w:rPr>
                <w:rFonts w:ascii="Book Antiqua" w:hAnsi="Book Antiqua" w:cs="Arial"/>
                <w:sz w:val="24"/>
                <w:szCs w:val="24"/>
              </w:rPr>
              <w:t xml:space="preserve"> достъп</w:t>
            </w:r>
            <w:r w:rsidR="00BD3E09" w:rsidRPr="00415DE7">
              <w:rPr>
                <w:rFonts w:ascii="Book Antiqua" w:hAnsi="Book Antiqua" w:cs="Arial"/>
                <w:sz w:val="24"/>
                <w:szCs w:val="24"/>
              </w:rPr>
              <w:t xml:space="preserve"> се осъществ</w:t>
            </w:r>
            <w:r w:rsidR="00BD72EB" w:rsidRPr="00415DE7">
              <w:rPr>
                <w:rFonts w:ascii="Book Antiqua" w:hAnsi="Book Antiqua" w:cs="Arial"/>
                <w:sz w:val="24"/>
                <w:szCs w:val="24"/>
              </w:rPr>
              <w:t>ява</w:t>
            </w:r>
            <w:r w:rsidR="00195CAB" w:rsidRPr="00415DE7">
              <w:rPr>
                <w:rFonts w:ascii="Book Antiqua" w:hAnsi="Book Antiqua" w:cs="Arial"/>
                <w:sz w:val="24"/>
                <w:szCs w:val="24"/>
              </w:rPr>
              <w:t xml:space="preserve"> от 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полски път с ИД 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2.121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. За да се подобри достъпа до новообразуван</w:t>
            </w:r>
            <w:r w:rsidR="00207A2F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те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 УПИ, при проектирането ще се предвиди уш</w:t>
            </w:r>
            <w:r w:rsidR="00A97F76" w:rsidRPr="00415DE7">
              <w:rPr>
                <w:rFonts w:ascii="Book Antiqua" w:hAnsi="Book Antiqua" w:cs="Arial"/>
                <w:sz w:val="24"/>
                <w:szCs w:val="24"/>
              </w:rPr>
              <w:t>и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>рение на полски</w:t>
            </w:r>
            <w:r w:rsidR="001D01D8" w:rsidRPr="00415DE7">
              <w:rPr>
                <w:rFonts w:ascii="Book Antiqua" w:hAnsi="Book Antiqua" w:cs="Arial"/>
                <w:sz w:val="24"/>
                <w:szCs w:val="24"/>
              </w:rPr>
              <w:t>я</w:t>
            </w:r>
            <w:r w:rsidR="00CB0551" w:rsidRPr="00415DE7">
              <w:rPr>
                <w:rFonts w:ascii="Book Antiqua" w:hAnsi="Book Antiqua" w:cs="Arial"/>
                <w:sz w:val="24"/>
                <w:szCs w:val="24"/>
              </w:rPr>
              <w:t xml:space="preserve"> път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 xml:space="preserve"> и улиц</w:t>
            </w:r>
            <w:r w:rsidR="00F707F2">
              <w:rPr>
                <w:rFonts w:ascii="Book Antiqua" w:hAnsi="Book Antiqua" w:cs="Arial"/>
                <w:sz w:val="24"/>
                <w:szCs w:val="24"/>
              </w:rPr>
              <w:t>а</w:t>
            </w:r>
            <w:r w:rsidR="00AD2D63">
              <w:rPr>
                <w:rFonts w:ascii="Book Antiqua" w:hAnsi="Book Antiqua" w:cs="Arial"/>
                <w:sz w:val="24"/>
                <w:szCs w:val="24"/>
              </w:rPr>
              <w:t>-тупик</w:t>
            </w:r>
            <w:r w:rsidR="00A97F76" w:rsidRPr="00415DE7">
              <w:rPr>
                <w:rFonts w:ascii="Book Antiqua" w:hAnsi="Book Antiqua" w:cs="Arial"/>
                <w:sz w:val="24"/>
                <w:szCs w:val="24"/>
              </w:rPr>
              <w:t>.</w:t>
            </w:r>
            <w:r w:rsidR="00F95970" w:rsidRPr="00415DE7">
              <w:rPr>
                <w:rFonts w:ascii="Book Antiqua" w:hAnsi="Book Antiqua" w:cs="Arial"/>
                <w:sz w:val="24"/>
                <w:szCs w:val="24"/>
              </w:rPr>
              <w:t xml:space="preserve">   </w:t>
            </w:r>
          </w:p>
          <w:p w14:paraId="25FB95D9" w14:textId="44317907" w:rsidR="002C62A0" w:rsidRDefault="00735158" w:rsidP="00735158">
            <w:pPr>
              <w:pStyle w:val="BodyTextIndent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  <w:r w:rsidRPr="00415DE7">
              <w:rPr>
                <w:rFonts w:ascii="Book Antiqua" w:hAnsi="Book Antiqua"/>
                <w:sz w:val="24"/>
              </w:rPr>
              <w:t xml:space="preserve"> Координатна система </w:t>
            </w:r>
            <w:r w:rsidRPr="00415DE7">
              <w:rPr>
                <w:rFonts w:ascii="Book Antiqua" w:hAnsi="Book Antiqua"/>
                <w:sz w:val="24"/>
                <w:lang w:val="en-US"/>
              </w:rPr>
              <w:t>WGS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 </w:t>
            </w:r>
            <w:r w:rsidRPr="00415DE7">
              <w:rPr>
                <w:rFonts w:ascii="Book Antiqua" w:hAnsi="Book Antiqua"/>
                <w:sz w:val="24"/>
              </w:rPr>
              <w:t>19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84 </w:t>
            </w:r>
            <w:r w:rsidRPr="00415DE7">
              <w:rPr>
                <w:rFonts w:ascii="Book Antiqua" w:hAnsi="Book Antiqua"/>
                <w:sz w:val="24"/>
              </w:rPr>
              <w:t xml:space="preserve"> -  </w:t>
            </w:r>
            <w:r w:rsidRPr="00415DE7">
              <w:rPr>
                <w:rFonts w:ascii="Book Antiqua" w:hAnsi="Book Antiqua"/>
                <w:sz w:val="24"/>
                <w:lang w:val="en-US"/>
              </w:rPr>
              <w:t>B</w:t>
            </w:r>
            <w:r w:rsidRPr="00415DE7">
              <w:rPr>
                <w:rFonts w:ascii="Book Antiqua" w:hAnsi="Book Antiqua"/>
                <w:sz w:val="24"/>
                <w:lang w:val="ru-RU"/>
              </w:rPr>
              <w:t>=</w:t>
            </w:r>
            <w:r w:rsidR="00F95970" w:rsidRPr="00415DE7">
              <w:rPr>
                <w:rFonts w:ascii="Book Antiqua" w:hAnsi="Book Antiqua"/>
                <w:sz w:val="24"/>
              </w:rPr>
              <w:t>42°0</w:t>
            </w:r>
            <w:r w:rsidR="004D699A">
              <w:rPr>
                <w:rFonts w:ascii="Book Antiqua" w:hAnsi="Book Antiqua"/>
                <w:sz w:val="24"/>
              </w:rPr>
              <w:t>5</w:t>
            </w:r>
            <w:r w:rsidR="00F95970" w:rsidRPr="00415DE7">
              <w:rPr>
                <w:rFonts w:ascii="Book Antiqua" w:hAnsi="Book Antiqua"/>
                <w:sz w:val="24"/>
              </w:rPr>
              <w:t>'</w:t>
            </w:r>
            <w:r w:rsidR="000943EA">
              <w:rPr>
                <w:rFonts w:ascii="Book Antiqua" w:hAnsi="Book Antiqua"/>
                <w:sz w:val="24"/>
              </w:rPr>
              <w:t>46</w:t>
            </w:r>
            <w:r w:rsidR="00F95970" w:rsidRPr="00415DE7">
              <w:rPr>
                <w:rFonts w:ascii="Book Antiqua" w:hAnsi="Book Antiqua"/>
                <w:sz w:val="24"/>
              </w:rPr>
              <w:t>.</w:t>
            </w:r>
            <w:r w:rsidR="000943EA">
              <w:rPr>
                <w:rFonts w:ascii="Book Antiqua" w:hAnsi="Book Antiqua"/>
                <w:sz w:val="24"/>
              </w:rPr>
              <w:t>220</w:t>
            </w:r>
            <w:r w:rsidR="00F95970" w:rsidRPr="00415DE7">
              <w:rPr>
                <w:rFonts w:ascii="Book Antiqua" w:hAnsi="Book Antiqua"/>
                <w:sz w:val="24"/>
              </w:rPr>
              <w:t>"</w:t>
            </w:r>
            <w:r w:rsidRPr="00415DE7">
              <w:rPr>
                <w:rFonts w:ascii="Book Antiqua" w:hAnsi="Book Antiqua"/>
                <w:sz w:val="24"/>
                <w:lang w:val="ru-RU"/>
              </w:rPr>
              <w:t xml:space="preserve">   </w:t>
            </w:r>
            <w:r w:rsidRPr="00415DE7">
              <w:rPr>
                <w:rFonts w:ascii="Book Antiqua" w:hAnsi="Book Antiqua"/>
                <w:sz w:val="24"/>
                <w:lang w:val="en-US"/>
              </w:rPr>
              <w:t>L</w:t>
            </w:r>
            <w:r w:rsidRPr="00415DE7">
              <w:rPr>
                <w:rFonts w:ascii="Book Antiqua" w:hAnsi="Book Antiqua"/>
                <w:sz w:val="24"/>
                <w:lang w:val="ru-RU"/>
              </w:rPr>
              <w:t>=</w:t>
            </w:r>
            <w:r w:rsidR="00F95970" w:rsidRPr="00415DE7">
              <w:rPr>
                <w:rFonts w:ascii="Book Antiqua" w:hAnsi="Book Antiqua"/>
                <w:sz w:val="24"/>
              </w:rPr>
              <w:t>24°4</w:t>
            </w:r>
            <w:r w:rsidR="000943EA">
              <w:rPr>
                <w:rFonts w:ascii="Book Antiqua" w:hAnsi="Book Antiqua"/>
                <w:sz w:val="24"/>
              </w:rPr>
              <w:t>3</w:t>
            </w:r>
            <w:r w:rsidR="00F95970" w:rsidRPr="00415DE7">
              <w:rPr>
                <w:rFonts w:ascii="Book Antiqua" w:hAnsi="Book Antiqua"/>
                <w:sz w:val="24"/>
              </w:rPr>
              <w:t>'</w:t>
            </w:r>
            <w:r w:rsidR="000943EA">
              <w:rPr>
                <w:rFonts w:ascii="Book Antiqua" w:hAnsi="Book Antiqua"/>
                <w:sz w:val="24"/>
              </w:rPr>
              <w:t>50</w:t>
            </w:r>
            <w:r w:rsidR="00F95970" w:rsidRPr="00415DE7">
              <w:rPr>
                <w:rFonts w:ascii="Book Antiqua" w:hAnsi="Book Antiqua"/>
                <w:sz w:val="24"/>
              </w:rPr>
              <w:t>.</w:t>
            </w:r>
            <w:r w:rsidR="000943EA">
              <w:rPr>
                <w:rFonts w:ascii="Book Antiqua" w:hAnsi="Book Antiqua"/>
                <w:sz w:val="24"/>
              </w:rPr>
              <w:t>660</w:t>
            </w:r>
            <w:r w:rsidR="00F95970" w:rsidRPr="00415DE7">
              <w:rPr>
                <w:rFonts w:ascii="Book Antiqua" w:hAnsi="Book Antiqua"/>
                <w:sz w:val="24"/>
              </w:rPr>
              <w:t>"</w:t>
            </w:r>
            <w:r w:rsidR="002C62A0" w:rsidRPr="00415DE7">
              <w:rPr>
                <w:rFonts w:ascii="Book Antiqua" w:hAnsi="Book Antiqua"/>
                <w:sz w:val="24"/>
              </w:rPr>
              <w:t xml:space="preserve"> </w:t>
            </w:r>
          </w:p>
          <w:p w14:paraId="76865270" w14:textId="4784A177" w:rsidR="00735158" w:rsidRPr="00415DE7" w:rsidRDefault="002C62A0" w:rsidP="00735158">
            <w:pPr>
              <w:pStyle w:val="BodyTextIndent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  <w:r w:rsidRPr="00415DE7">
              <w:rPr>
                <w:rFonts w:ascii="Book Antiqua" w:hAnsi="Book Antiqua"/>
                <w:sz w:val="24"/>
              </w:rPr>
              <w:t>Координатна система 2005 Кадастрална – Х=466</w:t>
            </w:r>
            <w:r w:rsidR="000943EA">
              <w:rPr>
                <w:rFonts w:ascii="Book Antiqua" w:hAnsi="Book Antiqua"/>
                <w:sz w:val="24"/>
              </w:rPr>
              <w:t>2610</w:t>
            </w:r>
            <w:r w:rsidRPr="00415DE7">
              <w:rPr>
                <w:rFonts w:ascii="Book Antiqua" w:hAnsi="Book Antiqua"/>
                <w:sz w:val="24"/>
              </w:rPr>
              <w:t>.</w:t>
            </w:r>
            <w:r w:rsidR="000943EA">
              <w:rPr>
                <w:rFonts w:ascii="Book Antiqua" w:hAnsi="Book Antiqua"/>
                <w:sz w:val="24"/>
              </w:rPr>
              <w:t>153</w:t>
            </w:r>
            <w:r w:rsidRPr="00415DE7">
              <w:rPr>
                <w:rFonts w:ascii="Book Antiqua" w:hAnsi="Book Antiqua"/>
                <w:sz w:val="24"/>
              </w:rPr>
              <w:t xml:space="preserve">  У=43</w:t>
            </w:r>
            <w:r w:rsidR="004D699A">
              <w:rPr>
                <w:rFonts w:ascii="Book Antiqua" w:hAnsi="Book Antiqua"/>
                <w:sz w:val="24"/>
              </w:rPr>
              <w:t>6</w:t>
            </w:r>
            <w:r w:rsidR="000943EA">
              <w:rPr>
                <w:rFonts w:ascii="Book Antiqua" w:hAnsi="Book Antiqua"/>
                <w:sz w:val="24"/>
              </w:rPr>
              <w:t>345</w:t>
            </w:r>
            <w:r w:rsidRPr="00415DE7">
              <w:rPr>
                <w:rFonts w:ascii="Book Antiqua" w:hAnsi="Book Antiqua"/>
                <w:sz w:val="24"/>
              </w:rPr>
              <w:t>.</w:t>
            </w:r>
            <w:r w:rsidR="000943EA">
              <w:rPr>
                <w:rFonts w:ascii="Book Antiqua" w:hAnsi="Book Antiqua"/>
                <w:sz w:val="24"/>
              </w:rPr>
              <w:t>976</w:t>
            </w:r>
          </w:p>
          <w:p w14:paraId="1A158F4C" w14:textId="0ABEEB1C" w:rsidR="00BD72EB" w:rsidRPr="00415DE7" w:rsidRDefault="00BD72EB" w:rsidP="00735158">
            <w:pPr>
              <w:pStyle w:val="BodyTextIndent"/>
              <w:spacing w:before="120" w:line="360" w:lineRule="auto"/>
              <w:ind w:left="0" w:firstLine="0"/>
              <w:rPr>
                <w:rFonts w:ascii="Book Antiqua" w:hAnsi="Book Antiqua"/>
                <w:sz w:val="24"/>
              </w:rPr>
            </w:pPr>
          </w:p>
          <w:p w14:paraId="48270CC8" w14:textId="77777777" w:rsidR="00E8508D" w:rsidRPr="00415DE7" w:rsidRDefault="00E8508D" w:rsidP="005E2EA8">
            <w:pPr>
              <w:spacing w:after="0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14:paraId="1D223B03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14:paraId="453E9A36" w14:textId="19568395" w:rsidR="00E70AB4" w:rsidRPr="00415DE7" w:rsidRDefault="00E70AB4" w:rsidP="006F268A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/>
                <w:sz w:val="24"/>
                <w:szCs w:val="24"/>
              </w:rPr>
              <w:t xml:space="preserve">Захранването с вода за </w:t>
            </w:r>
            <w:r w:rsidR="00020CEE" w:rsidRPr="00415DE7">
              <w:rPr>
                <w:rFonts w:ascii="Book Antiqua" w:hAnsi="Book Antiqua"/>
                <w:sz w:val="24"/>
                <w:szCs w:val="24"/>
              </w:rPr>
              <w:t>питейни и битови нужди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ще</w:t>
            </w:r>
            <w:r w:rsidR="006F268A" w:rsidRPr="00415DE7">
              <w:rPr>
                <w:rFonts w:ascii="Book Antiqua" w:hAnsi="Book Antiqua"/>
                <w:sz w:val="24"/>
                <w:szCs w:val="24"/>
              </w:rPr>
              <w:t xml:space="preserve"> се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F268A" w:rsidRPr="00415DE7">
              <w:rPr>
                <w:rFonts w:ascii="Book Antiqua" w:hAnsi="Book Antiqua"/>
                <w:sz w:val="24"/>
                <w:szCs w:val="24"/>
              </w:rPr>
              <w:t>осъществи от</w:t>
            </w:r>
            <w:r w:rsidR="00F95970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37EC">
              <w:rPr>
                <w:rFonts w:ascii="Book Antiqua" w:hAnsi="Book Antiqua"/>
                <w:sz w:val="24"/>
                <w:szCs w:val="24"/>
              </w:rPr>
              <w:t xml:space="preserve">най- </w:t>
            </w:r>
            <w:r w:rsidR="004479C5">
              <w:rPr>
                <w:rFonts w:ascii="Book Antiqua" w:hAnsi="Book Antiqua"/>
                <w:sz w:val="24"/>
                <w:szCs w:val="24"/>
              </w:rPr>
              <w:t xml:space="preserve">близката </w:t>
            </w:r>
            <w:r w:rsidR="00F95970" w:rsidRPr="00415DE7">
              <w:rPr>
                <w:rFonts w:ascii="Book Antiqua" w:hAnsi="Book Antiqua"/>
                <w:sz w:val="24"/>
                <w:szCs w:val="24"/>
              </w:rPr>
              <w:t>съществуващата</w:t>
            </w:r>
            <w:r w:rsidR="006F268A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72E3E" w:rsidRPr="00415DE7">
              <w:rPr>
                <w:rFonts w:ascii="Book Antiqua" w:hAnsi="Book Antiqua"/>
                <w:sz w:val="24"/>
                <w:szCs w:val="24"/>
              </w:rPr>
              <w:t>водопроводна мрежа</w:t>
            </w:r>
            <w:r w:rsidR="004479C5">
              <w:rPr>
                <w:rFonts w:ascii="Book Antiqua" w:hAnsi="Book Antiqua"/>
                <w:sz w:val="24"/>
                <w:szCs w:val="24"/>
              </w:rPr>
              <w:t xml:space="preserve"> и съгласно становище на ВиК-Пловдив</w:t>
            </w:r>
            <w:r w:rsidR="00494DEF">
              <w:rPr>
                <w:rFonts w:ascii="Book Antiqua" w:hAnsi="Book Antiqua"/>
                <w:sz w:val="24"/>
                <w:szCs w:val="24"/>
              </w:rPr>
              <w:t xml:space="preserve"> или</w:t>
            </w:r>
            <w:r w:rsidR="00194F99">
              <w:rPr>
                <w:rFonts w:ascii="Book Antiqua" w:hAnsi="Book Antiqua"/>
                <w:sz w:val="24"/>
                <w:szCs w:val="24"/>
              </w:rPr>
              <w:t xml:space="preserve"> ако, това е невъзможно ще се проектират сондажни кладенци с дълбочина до 10 метра или 2 метра повече от достигнатия воден хоризонт и съгласно изискванията и нормите на за съответната нормативна база и ще се съгласува с Басейнова дирекция-Пловдив, а за питейни нужди ще се ползва бутилирана вода и водоноски.</w:t>
            </w:r>
            <w:r w:rsidR="00C37EA3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0DAEE555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lastRenderedPageBreak/>
              <w:t>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14:paraId="09A0ADF2" w14:textId="77777777" w:rsidR="00E8508D" w:rsidRPr="00415DE7" w:rsidRDefault="007F4450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Не се очакват такива</w:t>
            </w:r>
          </w:p>
          <w:p w14:paraId="743DDC00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14:paraId="042DE9F5" w14:textId="77777777" w:rsidR="00E8508D" w:rsidRPr="00415DE7" w:rsidRDefault="007F4450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70751C84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14:paraId="57D3DCDA" w14:textId="77777777" w:rsidR="00E8508D" w:rsidRPr="00415DE7" w:rsidRDefault="003C62DF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 такива</w:t>
            </w:r>
          </w:p>
          <w:p w14:paraId="75CC7C6C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9. Отпадъчни води:</w:t>
            </w:r>
          </w:p>
          <w:p w14:paraId="40CE2449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14:paraId="3F52D179" w14:textId="27029B4F" w:rsidR="003C62DF" w:rsidRPr="00415DE7" w:rsidRDefault="003C62DF" w:rsidP="003C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15DE7">
              <w:rPr>
                <w:rFonts w:ascii="Book Antiqua" w:hAnsi="Book Antiqua"/>
                <w:sz w:val="24"/>
                <w:szCs w:val="24"/>
              </w:rPr>
              <w:t>За отпадъчните води</w:t>
            </w:r>
            <w:r w:rsidR="007D5C0D" w:rsidRPr="00415DE7">
              <w:rPr>
                <w:rFonts w:ascii="Book Antiqua" w:hAnsi="Book Antiqua"/>
                <w:sz w:val="24"/>
                <w:szCs w:val="24"/>
              </w:rPr>
              <w:t xml:space="preserve"> ще се 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>проектира</w:t>
            </w:r>
            <w:r w:rsidR="00194F99">
              <w:rPr>
                <w:rFonts w:ascii="Book Antiqua" w:hAnsi="Book Antiqua"/>
                <w:sz w:val="24"/>
                <w:szCs w:val="24"/>
              </w:rPr>
              <w:t>ш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 xml:space="preserve"> водоплътн</w:t>
            </w:r>
            <w:r w:rsidR="004479C5">
              <w:rPr>
                <w:rFonts w:ascii="Book Antiqua" w:hAnsi="Book Antiqua"/>
                <w:sz w:val="24"/>
                <w:szCs w:val="24"/>
              </w:rPr>
              <w:t>и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 изгребн</w:t>
            </w:r>
            <w:r w:rsidR="004479C5">
              <w:rPr>
                <w:rFonts w:ascii="Book Antiqua" w:hAnsi="Book Antiqua"/>
                <w:sz w:val="24"/>
                <w:szCs w:val="24"/>
              </w:rPr>
              <w:t>и</w:t>
            </w:r>
            <w:r w:rsidR="0068716E" w:rsidRPr="00415DE7">
              <w:rPr>
                <w:rFonts w:ascii="Book Antiqua" w:hAnsi="Book Antiqua"/>
                <w:sz w:val="24"/>
                <w:szCs w:val="24"/>
              </w:rPr>
              <w:t xml:space="preserve"> ям</w:t>
            </w:r>
            <w:r w:rsidR="004479C5">
              <w:rPr>
                <w:rFonts w:ascii="Book Antiqua" w:hAnsi="Book Antiqua"/>
                <w:sz w:val="24"/>
                <w:szCs w:val="24"/>
              </w:rPr>
              <w:t>и</w:t>
            </w:r>
            <w:r w:rsidR="00DA2868" w:rsidRPr="00415DE7">
              <w:rPr>
                <w:rFonts w:ascii="Book Antiqua" w:hAnsi="Book Antiqua"/>
                <w:sz w:val="24"/>
                <w:szCs w:val="24"/>
              </w:rPr>
              <w:t xml:space="preserve"> в новопроекти</w:t>
            </w:r>
            <w:r w:rsidRPr="00415DE7">
              <w:rPr>
                <w:rFonts w:ascii="Book Antiqua" w:hAnsi="Book Antiqua"/>
                <w:sz w:val="24"/>
                <w:szCs w:val="24"/>
              </w:rPr>
              <w:t>ран</w:t>
            </w:r>
            <w:r w:rsidR="00CD6DEB" w:rsidRPr="00415DE7">
              <w:rPr>
                <w:rFonts w:ascii="Book Antiqua" w:hAnsi="Book Antiqua"/>
                <w:sz w:val="24"/>
                <w:szCs w:val="24"/>
              </w:rPr>
              <w:t>и</w:t>
            </w:r>
            <w:r w:rsidR="004479C5">
              <w:rPr>
                <w:rFonts w:ascii="Book Antiqua" w:hAnsi="Book Antiqua"/>
                <w:sz w:val="24"/>
                <w:szCs w:val="24"/>
              </w:rPr>
              <w:t>те</w:t>
            </w:r>
            <w:r w:rsidR="00372E3E" w:rsidRPr="00415DE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15DE7">
              <w:rPr>
                <w:rFonts w:ascii="Book Antiqua" w:hAnsi="Book Antiqua"/>
                <w:sz w:val="24"/>
                <w:szCs w:val="24"/>
              </w:rPr>
              <w:t xml:space="preserve">УПИ. </w:t>
            </w:r>
          </w:p>
          <w:p w14:paraId="673AD756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14:paraId="5763E9EA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14:paraId="2F119086" w14:textId="77777777" w:rsidR="00E8508D" w:rsidRPr="00415DE7" w:rsidRDefault="00E85B13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Няма</w:t>
            </w:r>
            <w:r w:rsidR="003C62DF" w:rsidRPr="00415DE7">
              <w:rPr>
                <w:rFonts w:ascii="Book Antiqua" w:hAnsi="Book Antiqua" w:cs="Arial"/>
                <w:sz w:val="24"/>
                <w:szCs w:val="24"/>
              </w:rPr>
              <w:t xml:space="preserve"> такива</w:t>
            </w:r>
          </w:p>
          <w:p w14:paraId="4FE22857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14:paraId="32326C45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 xml:space="preserve">ІІ. Друга информация </w:t>
            </w:r>
            <w:r w:rsidRPr="00415DE7">
              <w:rPr>
                <w:rFonts w:ascii="Book Antiqua" w:hAnsi="Book Antiqua" w:cs="Arial"/>
                <w:i/>
                <w:iCs/>
                <w:sz w:val="24"/>
                <w:szCs w:val="24"/>
              </w:rPr>
              <w:t>(не е задължително за попълване)</w:t>
            </w:r>
          </w:p>
          <w:p w14:paraId="537064AA" w14:textId="77777777" w:rsidR="00E8508D" w:rsidRPr="00415DE7" w:rsidRDefault="00E8508D" w:rsidP="00476AE8">
            <w:pPr>
              <w:spacing w:after="0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14:paraId="19D2A02E" w14:textId="77777777" w:rsidR="00E8508D" w:rsidRPr="00415DE7" w:rsidRDefault="00E8508D" w:rsidP="00476AE8">
            <w:pPr>
              <w:spacing w:after="0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14:paraId="4057D70F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14:paraId="04E225D5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  <w:u w:val="single"/>
              </w:rPr>
              <w:lastRenderedPageBreak/>
              <w:t>Прилагам</w:t>
            </w:r>
            <w:r w:rsidRPr="00415DE7">
              <w:rPr>
                <w:rFonts w:ascii="Book Antiqua" w:hAnsi="Book Antiqua" w:cs="Arial"/>
                <w:sz w:val="24"/>
                <w:szCs w:val="24"/>
              </w:rPr>
              <w:t>:</w:t>
            </w:r>
          </w:p>
          <w:p w14:paraId="72D20583" w14:textId="77777777" w:rsidR="00E8508D" w:rsidRPr="00415DE7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14:paraId="7E2A6813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14:paraId="3BE799EA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 Други документи по преценка на уведомителя:</w:t>
            </w:r>
          </w:p>
          <w:p w14:paraId="3F0866F9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3.1. допълнителна информация/документация, поясняваща инвестиционното предложение;</w:t>
            </w:r>
          </w:p>
          <w:p w14:paraId="40632471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3.2. картен материал, схема, снимков материал, актуална скица на имота и др. в подходящ мащаб.</w:t>
            </w:r>
          </w:p>
          <w:p w14:paraId="3679CF8E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4. Електронен носител - 1 бр.</w:t>
            </w:r>
          </w:p>
          <w:p w14:paraId="7A1C3F84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15DE7">
              <w:rPr>
                <w:rFonts w:ascii="Book Antiqua" w:hAnsi="Book Antiqua" w:cs="Arial"/>
                <w:sz w:val="24"/>
                <w:szCs w:val="24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415DE7" w:rsidRPr="00415DE7" w14:paraId="6888C8A0" w14:textId="77777777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BDAF5A" w14:textId="10E0A615" w:rsidR="00E8508D" w:rsidRPr="00415DE7" w:rsidRDefault="00E8508D" w:rsidP="007E37EC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Дата: </w:t>
                  </w:r>
                  <w:r w:rsidR="00421BC1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……………</w:t>
                  </w:r>
                  <w:r w:rsidR="008B135B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.20</w:t>
                  </w:r>
                  <w:r w:rsidR="00DA6B0D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2</w:t>
                  </w:r>
                  <w:r w:rsidR="007E37EC">
                    <w:rPr>
                      <w:rFonts w:ascii="Book Antiqua" w:hAnsi="Book Antiqua" w:cs="Arial"/>
                      <w:sz w:val="24"/>
                      <w:szCs w:val="24"/>
                    </w:rPr>
                    <w:t>5</w:t>
                  </w:r>
                  <w:r w:rsidR="008B135B"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FCE80A" w14:textId="77777777" w:rsidR="00E8508D" w:rsidRPr="00415DE7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>Уведомител: .........................</w:t>
                  </w:r>
                </w:p>
                <w:p w14:paraId="745E8106" w14:textId="77777777" w:rsidR="00E8508D" w:rsidRPr="00415DE7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Book Antiqua" w:hAnsi="Book Antiqua" w:cs="Arial"/>
                      <w:sz w:val="24"/>
                      <w:szCs w:val="24"/>
                    </w:rPr>
                  </w:pPr>
                  <w:r w:rsidRPr="00415DE7">
                    <w:rPr>
                      <w:rFonts w:ascii="Book Antiqua" w:hAnsi="Book Antiqua" w:cs="Arial"/>
                      <w:sz w:val="24"/>
                      <w:szCs w:val="24"/>
                    </w:rPr>
                    <w:t xml:space="preserve">                            </w:t>
                  </w:r>
                  <w:r w:rsidRPr="00415DE7">
                    <w:rPr>
                      <w:rFonts w:ascii="Book Antiqua" w:hAnsi="Book Antiqua" w:cs="Arial"/>
                      <w:i/>
                      <w:iCs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14:paraId="62858F4B" w14:textId="77777777" w:rsidR="00E8508D" w:rsidRPr="00415DE7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</w:tbl>
    <w:p w14:paraId="3067F49A" w14:textId="77777777" w:rsidR="0095626A" w:rsidRPr="00415DE7" w:rsidRDefault="0095626A"/>
    <w:sectPr w:rsidR="0095626A" w:rsidRPr="00415DE7" w:rsidSect="002C6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96CB" w14:textId="77777777" w:rsidR="00085EE7" w:rsidRDefault="00085EE7" w:rsidP="004142DB">
      <w:pPr>
        <w:spacing w:after="0" w:line="240" w:lineRule="auto"/>
      </w:pPr>
      <w:r>
        <w:separator/>
      </w:r>
    </w:p>
  </w:endnote>
  <w:endnote w:type="continuationSeparator" w:id="0">
    <w:p w14:paraId="07511F08" w14:textId="77777777" w:rsidR="00085EE7" w:rsidRDefault="00085EE7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4C82" w14:textId="77777777" w:rsidR="00085EE7" w:rsidRDefault="00085EE7" w:rsidP="004142DB">
      <w:pPr>
        <w:spacing w:after="0" w:line="240" w:lineRule="auto"/>
      </w:pPr>
      <w:r>
        <w:separator/>
      </w:r>
    </w:p>
  </w:footnote>
  <w:footnote w:type="continuationSeparator" w:id="0">
    <w:p w14:paraId="66B3A970" w14:textId="77777777" w:rsidR="00085EE7" w:rsidRDefault="00085EE7" w:rsidP="00414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7A79"/>
    <w:rsid w:val="00017786"/>
    <w:rsid w:val="00020CEE"/>
    <w:rsid w:val="000253B8"/>
    <w:rsid w:val="000819FE"/>
    <w:rsid w:val="00085EE7"/>
    <w:rsid w:val="0008661E"/>
    <w:rsid w:val="000943EA"/>
    <w:rsid w:val="000A77AF"/>
    <w:rsid w:val="000B13F1"/>
    <w:rsid w:val="000C0B8C"/>
    <w:rsid w:val="000D6060"/>
    <w:rsid w:val="001348B9"/>
    <w:rsid w:val="00162D30"/>
    <w:rsid w:val="00167609"/>
    <w:rsid w:val="001868BB"/>
    <w:rsid w:val="00194F99"/>
    <w:rsid w:val="00195CAB"/>
    <w:rsid w:val="001A5D11"/>
    <w:rsid w:val="001A5F19"/>
    <w:rsid w:val="001B626C"/>
    <w:rsid w:val="001D01D8"/>
    <w:rsid w:val="001F11E4"/>
    <w:rsid w:val="00207A2F"/>
    <w:rsid w:val="00232AB9"/>
    <w:rsid w:val="00257961"/>
    <w:rsid w:val="002C62A0"/>
    <w:rsid w:val="002F7293"/>
    <w:rsid w:val="0032126C"/>
    <w:rsid w:val="00343A44"/>
    <w:rsid w:val="00371E89"/>
    <w:rsid w:val="003724E3"/>
    <w:rsid w:val="00372E3E"/>
    <w:rsid w:val="00394E6D"/>
    <w:rsid w:val="003B08D1"/>
    <w:rsid w:val="003B4FF8"/>
    <w:rsid w:val="003C62DF"/>
    <w:rsid w:val="003F176D"/>
    <w:rsid w:val="003F6313"/>
    <w:rsid w:val="003F6659"/>
    <w:rsid w:val="00407BC0"/>
    <w:rsid w:val="004142DB"/>
    <w:rsid w:val="00415DE7"/>
    <w:rsid w:val="00421BC1"/>
    <w:rsid w:val="00426716"/>
    <w:rsid w:val="004338CB"/>
    <w:rsid w:val="004479C5"/>
    <w:rsid w:val="004524A0"/>
    <w:rsid w:val="00476AE8"/>
    <w:rsid w:val="004826A3"/>
    <w:rsid w:val="0049326E"/>
    <w:rsid w:val="00494DEF"/>
    <w:rsid w:val="004D699A"/>
    <w:rsid w:val="00511FCD"/>
    <w:rsid w:val="00522E85"/>
    <w:rsid w:val="00553A2E"/>
    <w:rsid w:val="005556ED"/>
    <w:rsid w:val="00575728"/>
    <w:rsid w:val="005829B7"/>
    <w:rsid w:val="00594076"/>
    <w:rsid w:val="005B0A3C"/>
    <w:rsid w:val="005B55B3"/>
    <w:rsid w:val="005C3B2B"/>
    <w:rsid w:val="005D651A"/>
    <w:rsid w:val="005E2EA8"/>
    <w:rsid w:val="00635A9D"/>
    <w:rsid w:val="00650846"/>
    <w:rsid w:val="006650BF"/>
    <w:rsid w:val="0068716E"/>
    <w:rsid w:val="006B1430"/>
    <w:rsid w:val="006E7B29"/>
    <w:rsid w:val="006F268A"/>
    <w:rsid w:val="006F60DE"/>
    <w:rsid w:val="00722596"/>
    <w:rsid w:val="00732052"/>
    <w:rsid w:val="00735158"/>
    <w:rsid w:val="007412EF"/>
    <w:rsid w:val="00750A93"/>
    <w:rsid w:val="00757028"/>
    <w:rsid w:val="007850ED"/>
    <w:rsid w:val="007D5C0D"/>
    <w:rsid w:val="007D7B2F"/>
    <w:rsid w:val="007E1C6F"/>
    <w:rsid w:val="007E37EC"/>
    <w:rsid w:val="007E6605"/>
    <w:rsid w:val="007F16BD"/>
    <w:rsid w:val="007F4450"/>
    <w:rsid w:val="00800E6C"/>
    <w:rsid w:val="008029AF"/>
    <w:rsid w:val="008126BC"/>
    <w:rsid w:val="00816506"/>
    <w:rsid w:val="00827CCD"/>
    <w:rsid w:val="00851725"/>
    <w:rsid w:val="008721E3"/>
    <w:rsid w:val="008A7BF9"/>
    <w:rsid w:val="008B135B"/>
    <w:rsid w:val="008C3882"/>
    <w:rsid w:val="008D7C0E"/>
    <w:rsid w:val="008E55B8"/>
    <w:rsid w:val="00914F11"/>
    <w:rsid w:val="00920975"/>
    <w:rsid w:val="00945305"/>
    <w:rsid w:val="0095626A"/>
    <w:rsid w:val="00980640"/>
    <w:rsid w:val="009848CF"/>
    <w:rsid w:val="00995D69"/>
    <w:rsid w:val="009A164A"/>
    <w:rsid w:val="009A20BB"/>
    <w:rsid w:val="009A7783"/>
    <w:rsid w:val="009E6484"/>
    <w:rsid w:val="00A3606A"/>
    <w:rsid w:val="00A507C1"/>
    <w:rsid w:val="00A64900"/>
    <w:rsid w:val="00A97F76"/>
    <w:rsid w:val="00AA5C71"/>
    <w:rsid w:val="00AB75E8"/>
    <w:rsid w:val="00AD2D63"/>
    <w:rsid w:val="00AD35EB"/>
    <w:rsid w:val="00AD6CA9"/>
    <w:rsid w:val="00AE3807"/>
    <w:rsid w:val="00AF4372"/>
    <w:rsid w:val="00AF49D9"/>
    <w:rsid w:val="00B029CD"/>
    <w:rsid w:val="00B02C6A"/>
    <w:rsid w:val="00B156EE"/>
    <w:rsid w:val="00B23CD0"/>
    <w:rsid w:val="00B42F60"/>
    <w:rsid w:val="00B551BE"/>
    <w:rsid w:val="00B55606"/>
    <w:rsid w:val="00B72DDF"/>
    <w:rsid w:val="00B820BC"/>
    <w:rsid w:val="00B8476B"/>
    <w:rsid w:val="00BB48CA"/>
    <w:rsid w:val="00BC662E"/>
    <w:rsid w:val="00BC7BC3"/>
    <w:rsid w:val="00BD3E09"/>
    <w:rsid w:val="00BD72EB"/>
    <w:rsid w:val="00BE3574"/>
    <w:rsid w:val="00BF5257"/>
    <w:rsid w:val="00C06FD7"/>
    <w:rsid w:val="00C13CB6"/>
    <w:rsid w:val="00C37EA3"/>
    <w:rsid w:val="00C4273A"/>
    <w:rsid w:val="00C43DD3"/>
    <w:rsid w:val="00C466AF"/>
    <w:rsid w:val="00C71E32"/>
    <w:rsid w:val="00C86F50"/>
    <w:rsid w:val="00CB0551"/>
    <w:rsid w:val="00CB5D63"/>
    <w:rsid w:val="00CC1B0D"/>
    <w:rsid w:val="00CD5C58"/>
    <w:rsid w:val="00CD6C9A"/>
    <w:rsid w:val="00CD6DEB"/>
    <w:rsid w:val="00D3487E"/>
    <w:rsid w:val="00D42883"/>
    <w:rsid w:val="00D43041"/>
    <w:rsid w:val="00D545D8"/>
    <w:rsid w:val="00D806CB"/>
    <w:rsid w:val="00D91E54"/>
    <w:rsid w:val="00DA2868"/>
    <w:rsid w:val="00DA4AD9"/>
    <w:rsid w:val="00DA5B0A"/>
    <w:rsid w:val="00DA6B0D"/>
    <w:rsid w:val="00DB56E3"/>
    <w:rsid w:val="00DC2C42"/>
    <w:rsid w:val="00DC3F03"/>
    <w:rsid w:val="00DC7C1C"/>
    <w:rsid w:val="00DD4B78"/>
    <w:rsid w:val="00DE331C"/>
    <w:rsid w:val="00DE6881"/>
    <w:rsid w:val="00DF37CF"/>
    <w:rsid w:val="00E02143"/>
    <w:rsid w:val="00E24E66"/>
    <w:rsid w:val="00E31080"/>
    <w:rsid w:val="00E70AB4"/>
    <w:rsid w:val="00E77151"/>
    <w:rsid w:val="00E813B5"/>
    <w:rsid w:val="00E8508D"/>
    <w:rsid w:val="00E85B13"/>
    <w:rsid w:val="00EE04ED"/>
    <w:rsid w:val="00F332C8"/>
    <w:rsid w:val="00F573CF"/>
    <w:rsid w:val="00F63338"/>
    <w:rsid w:val="00F707F2"/>
    <w:rsid w:val="00F84773"/>
    <w:rsid w:val="00F860A8"/>
    <w:rsid w:val="00F95970"/>
    <w:rsid w:val="00FB48BA"/>
    <w:rsid w:val="00FB651D"/>
    <w:rsid w:val="00FB73EB"/>
    <w:rsid w:val="00FC1623"/>
    <w:rsid w:val="00FC1907"/>
    <w:rsid w:val="00FD0448"/>
    <w:rsid w:val="00FE3F8A"/>
    <w:rsid w:val="00FE4093"/>
    <w:rsid w:val="00FE54AA"/>
    <w:rsid w:val="00FF33CF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FEC4"/>
  <w15:docId w15:val="{4F31CE9C-6497-46E9-AFFD-A7BEF685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735158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35158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2025-04-16T11:33:00Z</cp:lastPrinted>
  <dcterms:created xsi:type="dcterms:W3CDTF">2025-07-01T13:21:00Z</dcterms:created>
  <dcterms:modified xsi:type="dcterms:W3CDTF">2025-07-01T13:24:00Z</dcterms:modified>
</cp:coreProperties>
</file>