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DE" w:rsidRPr="00FF0E3F" w:rsidRDefault="00076B82" w:rsidP="00FF0E3F">
      <w:pPr>
        <w:jc w:val="both"/>
        <w:rPr>
          <w:rFonts w:ascii="Verdana" w:hAnsi="Verdana"/>
          <w:b/>
          <w:i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уведомление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№ </w:t>
      </w:r>
      <w:r w:rsidR="00FF0E3F">
        <w:rPr>
          <w:rFonts w:ascii="Verdana" w:hAnsi="Verdana" w:cs="Arial"/>
          <w:color w:val="000000"/>
          <w:lang w:val="bg-BG"/>
        </w:rPr>
        <w:t>ОВОС-970/28.03.2022г. за</w:t>
      </w:r>
      <w:r w:rsidR="00FF0E3F" w:rsidRPr="00226DF9">
        <w:rPr>
          <w:rFonts w:ascii="Verdana" w:hAnsi="Verdana"/>
          <w:i/>
          <w:lang w:val="ru-RU"/>
        </w:rPr>
        <w:t>:</w:t>
      </w:r>
      <w:r w:rsidR="00FF0E3F" w:rsidRPr="00226DF9">
        <w:rPr>
          <w:rFonts w:ascii="Verdana" w:hAnsi="Verdana"/>
          <w:b/>
          <w:i/>
          <w:lang w:val="bg-BG"/>
        </w:rPr>
        <w:t xml:space="preserve"> </w:t>
      </w:r>
      <w:r w:rsidR="00FF0E3F" w:rsidRPr="00FF0E3F">
        <w:rPr>
          <w:rFonts w:ascii="Verdana" w:hAnsi="Verdana"/>
          <w:i/>
          <w:lang w:val="bg-BG"/>
        </w:rPr>
        <w:t>„Общинска програма за управление на отпадъците на Община Първомай за периода 2021-2028г.“</w:t>
      </w:r>
      <w:r w:rsidR="00D76634" w:rsidRPr="00FF0E3F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442EDB" w:rsidRPr="00442EDB" w:rsidRDefault="00442EDB" w:rsidP="00442EDB">
      <w:pPr>
        <w:tabs>
          <w:tab w:val="left" w:pos="8364"/>
          <w:tab w:val="left" w:pos="9214"/>
          <w:tab w:val="left" w:pos="9498"/>
        </w:tabs>
        <w:ind w:right="-142" w:firstLine="567"/>
        <w:jc w:val="both"/>
        <w:rPr>
          <w:rFonts w:ascii="Verdana" w:hAnsi="Verdana"/>
          <w:b/>
          <w:lang w:val="ru-RU"/>
        </w:rPr>
      </w:pPr>
      <w:r w:rsidRPr="00442EDB">
        <w:rPr>
          <w:rFonts w:ascii="Verdana" w:hAnsi="Verdana"/>
          <w:b/>
          <w:lang w:val="bg-BG"/>
        </w:rPr>
        <w:t>І.</w:t>
      </w:r>
      <w:r w:rsidRPr="00442EDB">
        <w:rPr>
          <w:rFonts w:ascii="Verdana" w:hAnsi="Verdana"/>
          <w:lang w:val="bg-BG"/>
        </w:rPr>
        <w:t xml:space="preserve"> </w:t>
      </w:r>
      <w:r w:rsidRPr="00442EDB">
        <w:rPr>
          <w:rFonts w:ascii="Verdana" w:hAnsi="Verdana"/>
          <w:lang w:val="ru-RU"/>
        </w:rPr>
        <w:t xml:space="preserve">Уведомяваме Ви, че </w:t>
      </w:r>
      <w:r w:rsidRPr="00442EDB">
        <w:rPr>
          <w:rFonts w:ascii="Verdana" w:hAnsi="Verdana"/>
          <w:lang w:val="bg-BG"/>
        </w:rPr>
        <w:t xml:space="preserve">на основание чл. 81, ал.1 </w:t>
      </w:r>
      <w:r w:rsidRPr="00442EDB">
        <w:rPr>
          <w:rFonts w:ascii="Verdana" w:hAnsi="Verdana"/>
          <w:lang w:val="ru-RU"/>
        </w:rPr>
        <w:t xml:space="preserve">от </w:t>
      </w:r>
      <w:r w:rsidRPr="00442EDB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442EDB">
        <w:rPr>
          <w:rFonts w:ascii="Verdana" w:hAnsi="Verdana"/>
          <w:lang w:val="ru-RU"/>
        </w:rPr>
        <w:t xml:space="preserve">/ЗООС/ и чл.2, ал.2, т. 2 от </w:t>
      </w:r>
      <w:r w:rsidRPr="00442EDB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442EDB">
        <w:rPr>
          <w:rFonts w:ascii="Verdana" w:hAnsi="Verdana"/>
          <w:lang w:val="ru-RU"/>
        </w:rPr>
        <w:t xml:space="preserve"> (</w:t>
      </w:r>
      <w:r w:rsidRPr="00442EDB">
        <w:rPr>
          <w:rFonts w:ascii="Verdana" w:hAnsi="Verdana"/>
          <w:lang w:val="bg-BG"/>
        </w:rPr>
        <w:t>Наредба за ЕО</w:t>
      </w:r>
      <w:r w:rsidRPr="00442EDB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</w:t>
      </w:r>
      <w:proofErr w:type="spellStart"/>
      <w:r w:rsidRPr="00442EDB">
        <w:rPr>
          <w:rFonts w:ascii="Verdana" w:hAnsi="Verdana"/>
          <w:lang w:val="ru-RU"/>
        </w:rPr>
        <w:t>вашия</w:t>
      </w:r>
      <w:proofErr w:type="spellEnd"/>
      <w:r w:rsidRPr="00442EDB">
        <w:rPr>
          <w:rFonts w:ascii="Verdana" w:hAnsi="Verdana"/>
          <w:lang w:val="ru-RU"/>
        </w:rPr>
        <w:t xml:space="preserve"> план. Преценката се извършва по реда </w:t>
      </w:r>
      <w:proofErr w:type="gramStart"/>
      <w:r w:rsidRPr="00442EDB">
        <w:rPr>
          <w:rFonts w:ascii="Verdana" w:hAnsi="Verdana"/>
          <w:lang w:val="ru-RU"/>
        </w:rPr>
        <w:t>на глава</w:t>
      </w:r>
      <w:proofErr w:type="gramEnd"/>
      <w:r w:rsidRPr="00442EDB">
        <w:rPr>
          <w:rFonts w:ascii="Verdana" w:hAnsi="Verdana"/>
          <w:lang w:val="ru-RU"/>
        </w:rPr>
        <w:t xml:space="preserve"> втора от същата Наредба, като съгласно чл.8а Възложителят на плана трябва да представи в РИОСВ-Пловдив </w:t>
      </w:r>
      <w:r w:rsidRPr="00442EDB">
        <w:rPr>
          <w:rFonts w:ascii="Verdana" w:hAnsi="Verdana"/>
          <w:b/>
          <w:lang w:val="ru-RU"/>
        </w:rPr>
        <w:t xml:space="preserve">писмено искане по образец </w:t>
      </w:r>
      <w:r w:rsidRPr="00442EDB">
        <w:rPr>
          <w:rFonts w:ascii="Verdana" w:hAnsi="Verdana"/>
          <w:b/>
        </w:rPr>
        <w:t>-</w:t>
      </w:r>
      <w:r w:rsidRPr="00442EDB">
        <w:rPr>
          <w:rFonts w:ascii="Verdana" w:hAnsi="Verdana"/>
          <w:b/>
          <w:lang w:val="bg-BG"/>
        </w:rPr>
        <w:t xml:space="preserve"> </w:t>
      </w:r>
      <w:r w:rsidRPr="00442EDB">
        <w:rPr>
          <w:rFonts w:ascii="Verdana" w:hAnsi="Verdana"/>
          <w:b/>
          <w:lang w:val="ru-RU"/>
        </w:rPr>
        <w:t>приложение 4</w:t>
      </w:r>
      <w:r w:rsidRPr="00442EDB">
        <w:rPr>
          <w:rFonts w:ascii="Verdana" w:hAnsi="Verdana"/>
          <w:b/>
        </w:rPr>
        <w:t xml:space="preserve"> </w:t>
      </w:r>
      <w:r w:rsidRPr="00442EDB">
        <w:rPr>
          <w:rFonts w:ascii="Verdana" w:hAnsi="Verdana"/>
          <w:b/>
          <w:lang w:val="ru-RU"/>
        </w:rPr>
        <w:t>на хартиен и електронен носител, съдържа</w:t>
      </w:r>
      <w:r w:rsidRPr="00442EDB">
        <w:rPr>
          <w:rFonts w:ascii="Verdana" w:hAnsi="Verdana"/>
          <w:b/>
          <w:lang w:val="bg-BG"/>
        </w:rPr>
        <w:t>що</w:t>
      </w:r>
      <w:r w:rsidRPr="00442EDB">
        <w:rPr>
          <w:rFonts w:ascii="Verdana" w:hAnsi="Verdana"/>
          <w:b/>
          <w:lang w:val="ru-RU"/>
        </w:rPr>
        <w:t>:</w:t>
      </w:r>
    </w:p>
    <w:p w:rsidR="00442EDB" w:rsidRPr="00442EDB" w:rsidRDefault="00442EDB" w:rsidP="00442EDB">
      <w:pPr>
        <w:numPr>
          <w:ilvl w:val="0"/>
          <w:numId w:val="2"/>
        </w:numPr>
        <w:tabs>
          <w:tab w:val="num" w:pos="851"/>
          <w:tab w:val="left" w:pos="9214"/>
        </w:tabs>
        <w:overflowPunct/>
        <w:autoSpaceDE/>
        <w:autoSpaceDN/>
        <w:adjustRightInd/>
        <w:ind w:right="-142"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информация за възложителя;</w:t>
      </w:r>
    </w:p>
    <w:p w:rsidR="00442EDB" w:rsidRPr="00442EDB" w:rsidRDefault="00442EDB" w:rsidP="00442EDB">
      <w:pPr>
        <w:numPr>
          <w:ilvl w:val="0"/>
          <w:numId w:val="2"/>
        </w:numPr>
        <w:tabs>
          <w:tab w:val="left" w:pos="9214"/>
        </w:tabs>
        <w:overflowPunct/>
        <w:autoSpaceDE/>
        <w:autoSpaceDN/>
        <w:adjustRightInd/>
        <w:ind w:right="-142"/>
        <w:jc w:val="both"/>
        <w:textAlignment w:val="auto"/>
        <w:rPr>
          <w:rFonts w:ascii="Verdana" w:hAnsi="Verdana"/>
          <w:bCs/>
          <w:lang w:eastAsia="bg-BG"/>
        </w:rPr>
      </w:pPr>
      <w:r w:rsidRPr="00442EDB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442EDB" w:rsidRPr="00442EDB" w:rsidRDefault="00442EDB" w:rsidP="00442EDB">
      <w:pPr>
        <w:tabs>
          <w:tab w:val="left" w:pos="9214"/>
        </w:tabs>
        <w:overflowPunct/>
        <w:autoSpaceDE/>
        <w:autoSpaceDN/>
        <w:adjustRightInd/>
        <w:ind w:left="585" w:right="-142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442EDB" w:rsidRPr="00442EDB" w:rsidRDefault="00442EDB" w:rsidP="00442EDB">
      <w:pPr>
        <w:tabs>
          <w:tab w:val="num" w:pos="720"/>
          <w:tab w:val="left" w:pos="9214"/>
          <w:tab w:val="left" w:pos="9540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д/ основни цели на плана;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е/ финансиране на плана/;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left="360" w:right="-142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442EDB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442EDB" w:rsidRPr="00442EDB" w:rsidRDefault="00442EDB" w:rsidP="00442EDB">
      <w:pPr>
        <w:tabs>
          <w:tab w:val="num" w:pos="720"/>
          <w:tab w:val="left" w:pos="9214"/>
        </w:tabs>
        <w:overflowPunct/>
        <w:autoSpaceDE/>
        <w:autoSpaceDN/>
        <w:adjustRightInd/>
        <w:ind w:right="-142"/>
        <w:jc w:val="both"/>
        <w:textAlignment w:val="auto"/>
        <w:rPr>
          <w:rFonts w:ascii="Verdana" w:hAnsi="Verdana"/>
          <w:b/>
          <w:bCs/>
          <w:lang w:eastAsia="bg-BG"/>
        </w:rPr>
      </w:pPr>
      <w:r w:rsidRPr="00442EDB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1. характеристика на плана/програмата относно: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е) наличие на алтернативи;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б) потенциално трансгранично въздействие;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lastRenderedPageBreak/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442EDB" w:rsidRPr="00442EDB" w:rsidRDefault="00442EDB" w:rsidP="00442EDB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FF0E3F" w:rsidRPr="00FF0E3F" w:rsidRDefault="00442EDB" w:rsidP="00FF0E3F">
      <w:pPr>
        <w:widowControl w:val="0"/>
        <w:tabs>
          <w:tab w:val="left" w:pos="9214"/>
        </w:tabs>
        <w:ind w:right="-142" w:firstLine="482"/>
        <w:jc w:val="both"/>
        <w:rPr>
          <w:rFonts w:ascii="Verdana" w:hAnsi="Verdana"/>
          <w:lang w:val="x-none"/>
        </w:rPr>
      </w:pPr>
      <w:r w:rsidRPr="00442EDB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FF0E3F" w:rsidRDefault="00FF0E3F" w:rsidP="00442EDB">
      <w:pPr>
        <w:tabs>
          <w:tab w:val="left" w:pos="567"/>
        </w:tabs>
        <w:overflowPunct/>
        <w:autoSpaceDE/>
        <w:autoSpaceDN/>
        <w:adjustRightInd/>
        <w:spacing w:afterAutospacing="1" w:line="240" w:lineRule="exact"/>
        <w:ind w:right="-144"/>
        <w:contextualSpacing/>
        <w:jc w:val="both"/>
        <w:textAlignment w:val="auto"/>
        <w:rPr>
          <w:rFonts w:ascii="Verdana" w:eastAsia="Calibri" w:hAnsi="Verdana"/>
          <w:b/>
          <w:lang w:val="bg-BG"/>
        </w:rPr>
      </w:pPr>
    </w:p>
    <w:p w:rsidR="00FF0E3F" w:rsidRPr="002249A4" w:rsidRDefault="00FF0E3F" w:rsidP="00FF0E3F">
      <w:pPr>
        <w:tabs>
          <w:tab w:val="left" w:pos="9639"/>
        </w:tabs>
        <w:jc w:val="both"/>
        <w:rPr>
          <w:rFonts w:ascii="Verdana" w:hAnsi="Verdana"/>
          <w:b/>
          <w:lang w:val="bg-BG"/>
        </w:rPr>
      </w:pPr>
      <w:r w:rsidRPr="00DA4676">
        <w:rPr>
          <w:rFonts w:ascii="Verdana" w:hAnsi="Verdana"/>
          <w:b/>
          <w:lang w:val="bg-BG"/>
        </w:rPr>
        <w:t>ІІ.</w:t>
      </w:r>
      <w:r w:rsidRPr="00DA467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b/>
          <w:lang w:val="bg-BG"/>
        </w:rPr>
        <w:t>На територията на Община Първомай</w:t>
      </w:r>
      <w:r w:rsidRPr="002249A4">
        <w:rPr>
          <w:rFonts w:ascii="Verdana" w:hAnsi="Verdana"/>
          <w:b/>
          <w:lang w:val="bg-BG"/>
        </w:rPr>
        <w:t xml:space="preserve"> попадат защитени зони по Натура 2000:</w:t>
      </w:r>
    </w:p>
    <w:p w:rsidR="00FF0E3F" w:rsidRDefault="00FF0E3F" w:rsidP="00FF0E3F">
      <w:pPr>
        <w:tabs>
          <w:tab w:val="left" w:pos="9498"/>
        </w:tabs>
        <w:jc w:val="both"/>
        <w:rPr>
          <w:rFonts w:ascii="Verdana" w:hAnsi="Verdana"/>
          <w:lang w:val="bg-BG"/>
        </w:rPr>
      </w:pPr>
    </w:p>
    <w:p w:rsidR="00FF0E3F" w:rsidRPr="00B92633" w:rsidRDefault="00FF0E3F" w:rsidP="00FF0E3F">
      <w:pPr>
        <w:pStyle w:val="ad"/>
        <w:numPr>
          <w:ilvl w:val="0"/>
          <w:numId w:val="5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Защитена зона </w:t>
      </w:r>
      <w:r w:rsidRPr="00A151EF">
        <w:rPr>
          <w:rFonts w:ascii="Verdana" w:hAnsi="Verdana"/>
          <w:sz w:val="20"/>
          <w:szCs w:val="20"/>
        </w:rPr>
        <w:t>за опазване на дивите птици</w:t>
      </w:r>
      <w:r>
        <w:rPr>
          <w:rFonts w:ascii="Verdana" w:hAnsi="Verdana"/>
          <w:sz w:val="20"/>
          <w:szCs w:val="20"/>
        </w:rPr>
        <w:t xml:space="preserve">: </w:t>
      </w:r>
      <w:r w:rsidRPr="00A151EF">
        <w:rPr>
          <w:rFonts w:ascii="Verdana" w:hAnsi="Verdana"/>
          <w:sz w:val="20"/>
          <w:szCs w:val="20"/>
        </w:rPr>
        <w:t>BG0002081 „Марица-Първомай”, обявена със Заповед №РД-836/17.11.2008 (ДВ бр. 108/2008 г.) на минис</w:t>
      </w:r>
      <w:r>
        <w:rPr>
          <w:rFonts w:ascii="Verdana" w:hAnsi="Verdana"/>
          <w:sz w:val="20"/>
          <w:szCs w:val="20"/>
        </w:rPr>
        <w:t>търа на околната среда и водите;</w:t>
      </w:r>
    </w:p>
    <w:p w:rsidR="00FF0E3F" w:rsidRPr="00A151EF" w:rsidRDefault="00FF0E3F" w:rsidP="00FF0E3F">
      <w:pPr>
        <w:pStyle w:val="ad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Защитени зони </w:t>
      </w:r>
      <w:r w:rsidRPr="00952D2A">
        <w:rPr>
          <w:rFonts w:ascii="Verdana" w:hAnsi="Verdana"/>
          <w:sz w:val="20"/>
          <w:szCs w:val="20"/>
        </w:rPr>
        <w:t>з</w:t>
      </w:r>
      <w:r w:rsidRPr="00952D2A">
        <w:rPr>
          <w:rFonts w:ascii="Verdana" w:hAnsi="Verdana"/>
          <w:sz w:val="20"/>
          <w:szCs w:val="20"/>
          <w:lang w:val="ru-RU"/>
        </w:rPr>
        <w:t>а опазване на природните местообитания и на дивата флора и фауна</w:t>
      </w:r>
      <w:r>
        <w:rPr>
          <w:rFonts w:ascii="Verdana" w:hAnsi="Verdana"/>
          <w:sz w:val="20"/>
          <w:szCs w:val="20"/>
          <w:lang w:val="ru-RU"/>
        </w:rPr>
        <w:t>:</w:t>
      </w:r>
      <w:r w:rsidRPr="00A151EF">
        <w:rPr>
          <w:rFonts w:ascii="Verdana" w:hAnsi="Verdana"/>
          <w:sz w:val="20"/>
          <w:szCs w:val="20"/>
        </w:rPr>
        <w:t xml:space="preserve"> </w:t>
      </w:r>
      <w:r w:rsidRPr="00952D2A">
        <w:rPr>
          <w:rFonts w:ascii="Verdana" w:hAnsi="Verdana"/>
          <w:sz w:val="20"/>
          <w:szCs w:val="20"/>
        </w:rPr>
        <w:t xml:space="preserve">BG0000435 „Река </w:t>
      </w:r>
      <w:proofErr w:type="spellStart"/>
      <w:r w:rsidRPr="00952D2A">
        <w:rPr>
          <w:rFonts w:ascii="Verdana" w:hAnsi="Verdana"/>
          <w:sz w:val="20"/>
          <w:szCs w:val="20"/>
        </w:rPr>
        <w:t>Каялийка</w:t>
      </w:r>
      <w:proofErr w:type="spellEnd"/>
      <w:r w:rsidRPr="00952D2A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</w:t>
      </w:r>
      <w:r w:rsidRPr="00A151EF">
        <w:rPr>
          <w:rFonts w:ascii="Verdana" w:hAnsi="Verdana"/>
          <w:sz w:val="20"/>
          <w:szCs w:val="20"/>
        </w:rPr>
        <w:t xml:space="preserve"> </w:t>
      </w:r>
      <w:r w:rsidRPr="00952D2A">
        <w:rPr>
          <w:rFonts w:ascii="Verdana" w:hAnsi="Verdana"/>
          <w:sz w:val="20"/>
          <w:szCs w:val="20"/>
        </w:rPr>
        <w:t>BG0000436 „Река Мечка”</w:t>
      </w:r>
      <w:r>
        <w:rPr>
          <w:rFonts w:ascii="Verdana" w:hAnsi="Verdana"/>
          <w:sz w:val="20"/>
          <w:szCs w:val="20"/>
        </w:rPr>
        <w:t>,</w:t>
      </w:r>
      <w:r w:rsidRPr="00A151EF">
        <w:rPr>
          <w:rFonts w:ascii="Verdana" w:hAnsi="Verdana"/>
          <w:sz w:val="20"/>
          <w:szCs w:val="20"/>
        </w:rPr>
        <w:t xml:space="preserve"> </w:t>
      </w:r>
      <w:r w:rsidRPr="00952D2A">
        <w:rPr>
          <w:rFonts w:ascii="Verdana" w:hAnsi="Verdana"/>
          <w:sz w:val="20"/>
          <w:szCs w:val="20"/>
        </w:rPr>
        <w:t xml:space="preserve">BG0000438 „Река </w:t>
      </w:r>
      <w:proofErr w:type="spellStart"/>
      <w:r w:rsidRPr="00952D2A">
        <w:rPr>
          <w:rFonts w:ascii="Verdana" w:hAnsi="Verdana"/>
          <w:sz w:val="20"/>
          <w:szCs w:val="20"/>
        </w:rPr>
        <w:t>Чинардере</w:t>
      </w:r>
      <w:proofErr w:type="spellEnd"/>
      <w:r w:rsidRPr="00952D2A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</w:t>
      </w:r>
      <w:r w:rsidRPr="00A151EF">
        <w:rPr>
          <w:rFonts w:ascii="Verdana" w:hAnsi="Verdana"/>
          <w:sz w:val="20"/>
          <w:szCs w:val="20"/>
        </w:rPr>
        <w:t xml:space="preserve"> </w:t>
      </w:r>
      <w:r w:rsidRPr="00952D2A">
        <w:rPr>
          <w:rFonts w:ascii="Verdana" w:hAnsi="Verdana"/>
          <w:sz w:val="20"/>
          <w:szCs w:val="20"/>
        </w:rPr>
        <w:t>BG0000578 „Река Марица”</w:t>
      </w:r>
      <w:r>
        <w:rPr>
          <w:rFonts w:ascii="Verdana" w:hAnsi="Verdana"/>
          <w:sz w:val="20"/>
          <w:szCs w:val="20"/>
        </w:rPr>
        <w:t>,</w:t>
      </w:r>
      <w:r w:rsidRPr="00952D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приети с Решение на МС №122/02.03.2007 г., </w:t>
      </w:r>
      <w:r w:rsidRPr="00952D2A">
        <w:rPr>
          <w:rFonts w:ascii="Verdana" w:hAnsi="Verdana"/>
          <w:sz w:val="20"/>
          <w:szCs w:val="20"/>
        </w:rPr>
        <w:t>BG0001031 „Родопи-Средни”</w:t>
      </w:r>
      <w:r>
        <w:rPr>
          <w:rFonts w:ascii="Verdana" w:hAnsi="Verdana"/>
          <w:sz w:val="20"/>
          <w:szCs w:val="20"/>
        </w:rPr>
        <w:t xml:space="preserve">, обявена със Заповед № РД-351/31.3.2021 г. на МОСВ </w:t>
      </w:r>
      <w:r w:rsidRPr="00A151EF">
        <w:rPr>
          <w:rFonts w:ascii="Verdana" w:hAnsi="Verdana"/>
          <w:sz w:val="20"/>
          <w:szCs w:val="20"/>
        </w:rPr>
        <w:t>(ДВ бр.5</w:t>
      </w:r>
      <w:r>
        <w:rPr>
          <w:rFonts w:ascii="Verdana" w:hAnsi="Verdana"/>
          <w:sz w:val="20"/>
          <w:szCs w:val="20"/>
        </w:rPr>
        <w:t>9</w:t>
      </w:r>
      <w:r w:rsidRPr="00A151EF">
        <w:rPr>
          <w:rFonts w:ascii="Verdana" w:hAnsi="Verdana"/>
          <w:sz w:val="20"/>
          <w:szCs w:val="20"/>
        </w:rPr>
        <w:t>/1</w:t>
      </w:r>
      <w:r>
        <w:rPr>
          <w:rFonts w:ascii="Verdana" w:hAnsi="Verdana"/>
          <w:sz w:val="20"/>
          <w:szCs w:val="20"/>
        </w:rPr>
        <w:t>6</w:t>
      </w:r>
      <w:r w:rsidRPr="00A151EF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7</w:t>
      </w:r>
      <w:r w:rsidRPr="00A151EF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1</w:t>
      </w:r>
      <w:r w:rsidRPr="00A151EF">
        <w:rPr>
          <w:rFonts w:ascii="Verdana" w:hAnsi="Verdana"/>
          <w:sz w:val="20"/>
          <w:szCs w:val="20"/>
        </w:rPr>
        <w:t xml:space="preserve"> г.)</w:t>
      </w:r>
      <w:r>
        <w:rPr>
          <w:rFonts w:ascii="Verdana" w:hAnsi="Verdana"/>
          <w:sz w:val="20"/>
          <w:szCs w:val="20"/>
        </w:rPr>
        <w:t xml:space="preserve"> и </w:t>
      </w:r>
      <w:r w:rsidRPr="00A151EF">
        <w:rPr>
          <w:rFonts w:ascii="Verdana" w:hAnsi="Verdana"/>
          <w:sz w:val="20"/>
          <w:szCs w:val="20"/>
        </w:rPr>
        <w:t xml:space="preserve">BG0000255 „Градинска гора”, обявена </w:t>
      </w:r>
      <w:r>
        <w:rPr>
          <w:rFonts w:ascii="Verdana" w:hAnsi="Verdana"/>
          <w:sz w:val="20"/>
          <w:szCs w:val="20"/>
        </w:rPr>
        <w:t xml:space="preserve">със Заповед №РД-400/26.05.2020 </w:t>
      </w:r>
      <w:r w:rsidRPr="00A151EF">
        <w:rPr>
          <w:rFonts w:ascii="Verdana" w:hAnsi="Verdana"/>
          <w:sz w:val="20"/>
          <w:szCs w:val="20"/>
        </w:rPr>
        <w:t xml:space="preserve">г. на </w:t>
      </w:r>
      <w:r>
        <w:rPr>
          <w:rFonts w:ascii="Verdana" w:hAnsi="Verdana"/>
          <w:sz w:val="20"/>
          <w:szCs w:val="20"/>
        </w:rPr>
        <w:t>МОСВ (ДВ бр.55/19.06.2020 г.).</w:t>
      </w:r>
    </w:p>
    <w:p w:rsidR="00FF0E3F" w:rsidRPr="007006B1" w:rsidRDefault="00FF0E3F" w:rsidP="00FF0E3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II.I На територията </w:t>
      </w:r>
      <w:r w:rsidRPr="007006B1">
        <w:rPr>
          <w:rFonts w:ascii="Verdana" w:hAnsi="Verdana"/>
          <w:b/>
        </w:rPr>
        <w:t>на Община Първомай попадат защитени територии:</w:t>
      </w:r>
    </w:p>
    <w:p w:rsidR="00FF0E3F" w:rsidRPr="007006B1" w:rsidRDefault="00FF0E3F" w:rsidP="00FF0E3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006B1">
        <w:rPr>
          <w:rFonts w:ascii="Verdana" w:hAnsi="Verdana"/>
          <w:sz w:val="20"/>
          <w:szCs w:val="20"/>
        </w:rPr>
        <w:t>Защитена местност „Наход</w:t>
      </w:r>
      <w:r>
        <w:rPr>
          <w:rFonts w:ascii="Verdana" w:hAnsi="Verdana"/>
          <w:sz w:val="20"/>
          <w:szCs w:val="20"/>
        </w:rPr>
        <w:t xml:space="preserve">ище на блатно кокиче с. Виница“, обявена със  </w:t>
      </w:r>
      <w:r w:rsidRPr="006C58B4">
        <w:rPr>
          <w:rFonts w:ascii="Verdana" w:hAnsi="Verdana"/>
          <w:sz w:val="20"/>
          <w:szCs w:val="20"/>
        </w:rPr>
        <w:t>Заповед №1938/03.07.1970 г. на МГГП</w:t>
      </w:r>
      <w:r>
        <w:rPr>
          <w:rFonts w:ascii="Verdana" w:hAnsi="Verdana"/>
          <w:sz w:val="20"/>
          <w:szCs w:val="20"/>
        </w:rPr>
        <w:t xml:space="preserve">, актуализирана със Заповед № РД-215/12.03.2012 г. на МОСВ </w:t>
      </w:r>
      <w:r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ДВ бр. 33/2012 г.</w:t>
      </w:r>
      <w:r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</w:rPr>
        <w:t xml:space="preserve"> </w:t>
      </w:r>
    </w:p>
    <w:p w:rsidR="00FF0E3F" w:rsidRPr="007006B1" w:rsidRDefault="00FF0E3F" w:rsidP="00FF0E3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006B1">
        <w:rPr>
          <w:rFonts w:ascii="Verdana" w:hAnsi="Verdana"/>
          <w:sz w:val="20"/>
          <w:szCs w:val="20"/>
        </w:rPr>
        <w:t>Защитена местност „Находи</w:t>
      </w:r>
      <w:r>
        <w:rPr>
          <w:rFonts w:ascii="Verdana" w:hAnsi="Verdana"/>
          <w:sz w:val="20"/>
          <w:szCs w:val="20"/>
        </w:rPr>
        <w:t xml:space="preserve">ще на блатно кокиче с. Градина“, обявена със </w:t>
      </w:r>
      <w:r w:rsidRPr="00C36F96">
        <w:rPr>
          <w:rFonts w:ascii="Verdana" w:hAnsi="Verdana"/>
          <w:sz w:val="20"/>
          <w:szCs w:val="20"/>
        </w:rPr>
        <w:t>Зап</w:t>
      </w:r>
      <w:r>
        <w:rPr>
          <w:rFonts w:ascii="Verdana" w:hAnsi="Verdana"/>
          <w:sz w:val="20"/>
          <w:szCs w:val="20"/>
        </w:rPr>
        <w:t xml:space="preserve">овед </w:t>
      </w:r>
      <w:r w:rsidRPr="00C36F96">
        <w:rPr>
          <w:rFonts w:ascii="Verdana" w:hAnsi="Verdana"/>
          <w:sz w:val="20"/>
          <w:szCs w:val="20"/>
        </w:rPr>
        <w:t>№РД-148 от 20.03.2006 г. на МОСВ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ДВ бр.75/2006 г.</w:t>
      </w:r>
      <w:r>
        <w:rPr>
          <w:rFonts w:ascii="Verdana" w:hAnsi="Verdana"/>
          <w:sz w:val="20"/>
          <w:szCs w:val="20"/>
          <w:lang w:val="en-US"/>
        </w:rPr>
        <w:t>)</w:t>
      </w:r>
    </w:p>
    <w:p w:rsidR="00FF0E3F" w:rsidRPr="007006B1" w:rsidRDefault="00FF0E3F" w:rsidP="00FF0E3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006B1">
        <w:rPr>
          <w:rFonts w:ascii="Verdana" w:hAnsi="Verdana"/>
          <w:sz w:val="20"/>
          <w:szCs w:val="20"/>
        </w:rPr>
        <w:t>З</w:t>
      </w:r>
      <w:r>
        <w:rPr>
          <w:rFonts w:ascii="Verdana" w:hAnsi="Verdana"/>
          <w:sz w:val="20"/>
          <w:szCs w:val="20"/>
        </w:rPr>
        <w:t>ащитена местност „Поповата ада</w:t>
      </w:r>
      <w:r w:rsidRPr="006C58B4">
        <w:rPr>
          <w:rFonts w:ascii="Verdana" w:hAnsi="Verdana"/>
          <w:sz w:val="20"/>
          <w:szCs w:val="20"/>
        </w:rPr>
        <w:t>“,</w:t>
      </w:r>
      <w:r w:rsidRPr="006C58B4">
        <w:rPr>
          <w:rFonts w:ascii="Verdana" w:hAnsi="Verdana"/>
        </w:rPr>
        <w:t xml:space="preserve"> обявена със</w:t>
      </w:r>
      <w:r>
        <w:t xml:space="preserve"> </w:t>
      </w:r>
      <w:r w:rsidRPr="006C58B4">
        <w:rPr>
          <w:rFonts w:ascii="Verdana" w:hAnsi="Verdana"/>
          <w:sz w:val="20"/>
          <w:szCs w:val="20"/>
        </w:rPr>
        <w:t>Зап</w:t>
      </w:r>
      <w:r>
        <w:rPr>
          <w:rFonts w:ascii="Verdana" w:hAnsi="Verdana"/>
          <w:sz w:val="20"/>
          <w:szCs w:val="20"/>
        </w:rPr>
        <w:t xml:space="preserve">овед </w:t>
      </w:r>
      <w:r w:rsidRPr="006C58B4">
        <w:rPr>
          <w:rFonts w:ascii="Verdana" w:hAnsi="Verdana"/>
          <w:sz w:val="20"/>
          <w:szCs w:val="20"/>
        </w:rPr>
        <w:t>№РД-696 от 19.09.2007 г. на МОСВ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ДВ бр. 89/06.11.2007 г.</w:t>
      </w:r>
      <w:r>
        <w:rPr>
          <w:rFonts w:ascii="Verdana" w:hAnsi="Verdana"/>
          <w:sz w:val="20"/>
          <w:szCs w:val="20"/>
          <w:lang w:val="en-US"/>
        </w:rPr>
        <w:t>)</w:t>
      </w:r>
    </w:p>
    <w:p w:rsidR="00FF0E3F" w:rsidRPr="007006B1" w:rsidRDefault="00FF0E3F" w:rsidP="00FF0E3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006B1">
        <w:rPr>
          <w:rFonts w:ascii="Verdana" w:hAnsi="Verdana"/>
          <w:sz w:val="20"/>
          <w:szCs w:val="20"/>
        </w:rPr>
        <w:t>Защитена местност „Шарения остров“</w:t>
      </w:r>
      <w:r>
        <w:rPr>
          <w:rFonts w:ascii="Verdana" w:hAnsi="Verdana"/>
          <w:sz w:val="20"/>
          <w:szCs w:val="20"/>
        </w:rPr>
        <w:t xml:space="preserve"> обявена със </w:t>
      </w:r>
      <w:r w:rsidRPr="006C58B4">
        <w:rPr>
          <w:rFonts w:ascii="Verdana" w:hAnsi="Verdana"/>
          <w:sz w:val="20"/>
          <w:szCs w:val="20"/>
        </w:rPr>
        <w:t>Заповед №РД-325/31.03.2003 г. на МОСВ</w:t>
      </w:r>
      <w:r>
        <w:rPr>
          <w:rFonts w:ascii="Verdana" w:hAnsi="Verdana"/>
          <w:sz w:val="20"/>
          <w:szCs w:val="20"/>
        </w:rPr>
        <w:t xml:space="preserve">, актуализирана със Заповед № РД-856/07.11.2006 г. </w:t>
      </w:r>
      <w:r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</w:rPr>
        <w:t>ДВ бр. 6/2007 г.</w:t>
      </w:r>
      <w:r>
        <w:rPr>
          <w:rFonts w:ascii="Verdana" w:hAnsi="Verdana"/>
          <w:sz w:val="20"/>
          <w:szCs w:val="20"/>
          <w:lang w:val="en-US"/>
        </w:rPr>
        <w:t>)</w:t>
      </w:r>
    </w:p>
    <w:p w:rsidR="00FF0E3F" w:rsidRPr="00116B26" w:rsidRDefault="00FF0E3F" w:rsidP="00FF0E3F">
      <w:pPr>
        <w:pStyle w:val="ad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7006B1">
        <w:rPr>
          <w:rFonts w:ascii="Verdana" w:hAnsi="Verdana"/>
          <w:sz w:val="20"/>
          <w:szCs w:val="20"/>
        </w:rPr>
        <w:t>Природна забележителност „</w:t>
      </w:r>
      <w:proofErr w:type="spellStart"/>
      <w:r w:rsidRPr="007006B1">
        <w:rPr>
          <w:rFonts w:ascii="Verdana" w:hAnsi="Verdana"/>
          <w:sz w:val="20"/>
          <w:szCs w:val="20"/>
        </w:rPr>
        <w:t>Фосилни</w:t>
      </w:r>
      <w:proofErr w:type="spellEnd"/>
      <w:r w:rsidRPr="007006B1">
        <w:rPr>
          <w:rFonts w:ascii="Verdana" w:hAnsi="Verdana"/>
          <w:sz w:val="20"/>
          <w:szCs w:val="20"/>
        </w:rPr>
        <w:t xml:space="preserve"> находки“</w:t>
      </w:r>
      <w:r>
        <w:rPr>
          <w:rFonts w:ascii="Verdana" w:hAnsi="Verdana"/>
          <w:sz w:val="20"/>
          <w:szCs w:val="20"/>
        </w:rPr>
        <w:t xml:space="preserve">, обявена със </w:t>
      </w:r>
      <w:r w:rsidRPr="00666D95">
        <w:t xml:space="preserve"> </w:t>
      </w:r>
      <w:r w:rsidRPr="00666D95">
        <w:rPr>
          <w:rFonts w:ascii="Verdana" w:hAnsi="Verdana"/>
          <w:sz w:val="20"/>
          <w:szCs w:val="20"/>
        </w:rPr>
        <w:t>Зап</w:t>
      </w:r>
      <w:r>
        <w:rPr>
          <w:rFonts w:ascii="Verdana" w:hAnsi="Verdana"/>
          <w:sz w:val="20"/>
          <w:szCs w:val="20"/>
        </w:rPr>
        <w:t xml:space="preserve">овед </w:t>
      </w:r>
      <w:r w:rsidRPr="00666D95">
        <w:rPr>
          <w:rFonts w:ascii="Verdana" w:hAnsi="Verdana"/>
          <w:sz w:val="20"/>
          <w:szCs w:val="20"/>
        </w:rPr>
        <w:t>№36 от 11.01.1968 г. на МГГП</w:t>
      </w:r>
      <w:r>
        <w:rPr>
          <w:rFonts w:ascii="Verdana" w:hAnsi="Verdana"/>
          <w:sz w:val="20"/>
          <w:szCs w:val="20"/>
        </w:rPr>
        <w:t xml:space="preserve"> </w:t>
      </w:r>
      <w:r w:rsidRPr="007006B1">
        <w:rPr>
          <w:rFonts w:ascii="Verdana" w:hAnsi="Verdana"/>
          <w:sz w:val="20"/>
          <w:szCs w:val="20"/>
        </w:rPr>
        <w:t xml:space="preserve"> 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  <w:bookmarkStart w:id="0" w:name="_GoBack"/>
      <w:bookmarkEnd w:id="0"/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FF0E3F">
        <w:rPr>
          <w:rFonts w:ascii="Verdana" w:hAnsi="Verdana" w:cs="Arial"/>
          <w:color w:val="000000"/>
          <w:lang w:val="bg-BG"/>
        </w:rPr>
        <w:t>970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FF0E3F">
        <w:rPr>
          <w:rFonts w:ascii="Verdana" w:hAnsi="Verdana" w:cs="Arial"/>
          <w:color w:val="000000"/>
          <w:lang w:val="bg-BG"/>
        </w:rPr>
        <w:t>14</w:t>
      </w:r>
      <w:r w:rsidR="00FF0E3F">
        <w:rPr>
          <w:rFonts w:ascii="Verdana" w:hAnsi="Verdana" w:cs="Arial"/>
          <w:color w:val="000000"/>
        </w:rPr>
        <w:t>.04</w:t>
      </w:r>
      <w:r>
        <w:rPr>
          <w:rFonts w:ascii="Verdana" w:hAnsi="Verdana" w:cs="Arial"/>
          <w:color w:val="000000"/>
        </w:rPr>
        <w:t>.202</w:t>
      </w:r>
      <w:r w:rsidR="00442EDB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EF00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34"/>
    <w:qFormat/>
    <w:rsid w:val="00FF0E3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5</cp:revision>
  <dcterms:created xsi:type="dcterms:W3CDTF">2021-06-24T11:15:00Z</dcterms:created>
  <dcterms:modified xsi:type="dcterms:W3CDTF">2022-05-05T10:46:00Z</dcterms:modified>
</cp:coreProperties>
</file>