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31" w:rsidRDefault="00CB18AC">
      <w:pPr>
        <w:shd w:val="clear" w:color="auto" w:fill="FEFEF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Приложение № 4 към </w:t>
      </w:r>
      <w:r>
        <w:rPr>
          <w:rStyle w:val="samedocreference"/>
          <w:color w:val="000000"/>
          <w:sz w:val="22"/>
          <w:szCs w:val="22"/>
        </w:rPr>
        <w:t>чл. 8а, ал. 1</w:t>
      </w:r>
    </w:p>
    <w:p w:rsidR="00731F31" w:rsidRDefault="00CB18AC">
      <w:pPr>
        <w:shd w:val="clear" w:color="auto" w:fill="FEFEF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(Ново - ДВ, бр. 12 от 2016 г., в сила от 12.02.2016 г., изм. и доп. - ДВ, бр. 3 от 2018 г., изм. - ДВ, бр. 31 от 2019 г., в сила от 12.04.2019 г.)</w:t>
      </w:r>
    </w:p>
    <w:p w:rsidR="00731F31" w:rsidRDefault="00731F31">
      <w:pPr>
        <w:shd w:val="clear" w:color="auto" w:fill="FEFEFE"/>
        <w:spacing w:line="276" w:lineRule="auto"/>
        <w:rPr>
          <w:sz w:val="22"/>
          <w:szCs w:val="22"/>
        </w:rPr>
      </w:pPr>
    </w:p>
    <w:p w:rsidR="00731F31" w:rsidRDefault="00CB18AC">
      <w:pPr>
        <w:shd w:val="clear" w:color="auto" w:fill="FEFEFE"/>
        <w:spacing w:line="276" w:lineRule="auto"/>
        <w:rPr>
          <w:rFonts w:ascii="Verdana" w:hAnsi="Verdana"/>
          <w:b/>
          <w:color w:val="000000"/>
        </w:rPr>
      </w:pPr>
      <w:r>
        <w:rPr>
          <w:b/>
        </w:rPr>
        <w:t>ДО</w:t>
      </w:r>
    </w:p>
    <w:p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ДИРЕКТОРА НА РИОСВ</w:t>
      </w:r>
    </w:p>
    <w:p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ПЛОВДИВ</w:t>
      </w:r>
      <w:r>
        <w:rPr>
          <w:color w:val="000000"/>
        </w:rPr>
        <w:t xml:space="preserve">                                    </w:t>
      </w:r>
    </w:p>
    <w:p w:rsidR="00731F31" w:rsidRDefault="00CB18AC">
      <w:pPr>
        <w:pStyle w:val="af2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 Ваш № ОВОС-</w:t>
      </w:r>
      <w:r>
        <w:rPr>
          <w:b/>
          <w:color w:val="000000"/>
          <w:u w:val="single"/>
          <w:lang w:val="en-US"/>
        </w:rPr>
        <w:t>94</w:t>
      </w:r>
      <w:r>
        <w:rPr>
          <w:b/>
          <w:color w:val="000000"/>
          <w:u w:val="single"/>
        </w:rPr>
        <w:t>-1/</w:t>
      </w:r>
      <w:r>
        <w:rPr>
          <w:b/>
          <w:color w:val="000000"/>
          <w:u w:val="single"/>
          <w:lang w:val="en-US"/>
        </w:rPr>
        <w:t>25</w:t>
      </w:r>
      <w:r>
        <w:rPr>
          <w:b/>
          <w:color w:val="000000"/>
          <w:u w:val="single"/>
        </w:rPr>
        <w:t>.0</w:t>
      </w:r>
      <w:r>
        <w:rPr>
          <w:b/>
          <w:color w:val="000000"/>
          <w:u w:val="single"/>
          <w:lang w:val="en-US"/>
        </w:rPr>
        <w:t>1.</w:t>
      </w:r>
      <w:r>
        <w:rPr>
          <w:b/>
          <w:color w:val="000000"/>
          <w:u w:val="single"/>
        </w:rPr>
        <w:t>202</w:t>
      </w:r>
      <w:r>
        <w:rPr>
          <w:b/>
          <w:color w:val="000000"/>
          <w:u w:val="single"/>
          <w:lang w:val="en-US"/>
        </w:rPr>
        <w:t>3</w:t>
      </w:r>
      <w:r>
        <w:rPr>
          <w:b/>
          <w:color w:val="000000"/>
          <w:u w:val="single"/>
        </w:rPr>
        <w:t xml:space="preserve"> г.</w:t>
      </w:r>
    </w:p>
    <w:p w:rsidR="00731F31" w:rsidRDefault="00CB18AC">
      <w:pPr>
        <w:pStyle w:val="af2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ИСКАНЕ</w:t>
      </w:r>
    </w:p>
    <w:p w:rsidR="00731F31" w:rsidRDefault="00CB18AC">
      <w:pPr>
        <w:ind w:firstLine="708"/>
        <w:jc w:val="both"/>
        <w:rPr>
          <w:b/>
        </w:rPr>
      </w:pPr>
      <w:r>
        <w:rPr>
          <w:color w:val="000000"/>
        </w:rPr>
        <w:t>за преценяване на необходимостта от извършване на екологична оценка (ЕО) на</w:t>
      </w:r>
      <w:r>
        <w:rPr>
          <w:b/>
          <w:color w:val="000000"/>
        </w:rPr>
        <w:t xml:space="preserve"> </w:t>
      </w:r>
      <w:r>
        <w:rPr>
          <w:b/>
          <w:iCs/>
        </w:rPr>
        <w:t xml:space="preserve">„ПУП – план за регулация и застрояване в обхвата на поземлени имоти: </w:t>
      </w:r>
      <w:bookmarkStart w:id="0" w:name="_Hlk91070031"/>
      <w:bookmarkStart w:id="1" w:name="_Hlk104991407"/>
      <w:r>
        <w:t xml:space="preserve"> </w:t>
      </w:r>
      <w:bookmarkStart w:id="2" w:name="_Hlk124256062"/>
      <w:r>
        <w:rPr>
          <w:b/>
        </w:rPr>
        <w:t>61412.18.26, 18.93, 18.178, 18.31, 18.105, 18.181, 18.73, 18.74, 18.16, 18.68, 18.75, 18.76, 18.77, 18.67, 18.318, 18.32, 18.87, 18.52, 18.57, 18.91, 18.143, 18.177, 18.99, 18.51, 18.27 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bookmarkEnd w:id="0"/>
    <w:bookmarkEnd w:id="1"/>
    <w:bookmarkEnd w:id="2"/>
    <w:p w:rsidR="00731F31" w:rsidRDefault="00E0134F">
      <w:pPr>
        <w:pStyle w:val="af2"/>
        <w:spacing w:after="0" w:afterAutospacing="0" w:line="276" w:lineRule="auto"/>
        <w:jc w:val="center"/>
        <w:rPr>
          <w:b/>
        </w:rPr>
      </w:pPr>
      <w:r>
        <w:rPr>
          <w:b/>
          <w:bCs/>
          <w:i/>
          <w:noProof/>
          <w:color w:val="000000" w:themeColor="text1"/>
        </w:rPr>
        <w:drawing>
          <wp:inline distT="0" distB="0" distL="0" distR="0" wp14:anchorId="71C98003" wp14:editId="5A40F8D6">
            <wp:extent cx="5760720" cy="4282322"/>
            <wp:effectExtent l="0" t="0" r="0" b="0"/>
            <wp:docPr id="5" name="Picture 1" descr="D:\Users\marti\Desktop\Screenshot 2023-01-27 140759.pngScreenshot 2023-01-27 14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Users\marti\Desktop\Screenshot 2023-01-27 140759.pngScreenshot 2023-01-27 14075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31" w:rsidRDefault="00CB18AC">
      <w:pPr>
        <w:pStyle w:val="af2"/>
        <w:spacing w:after="0" w:afterAutospacing="0" w:line="276" w:lineRule="auto"/>
        <w:jc w:val="center"/>
        <w:rPr>
          <w:iCs/>
        </w:rPr>
      </w:pPr>
      <w:r>
        <w:rPr>
          <w:b/>
        </w:rPr>
        <w:t>„БИЗНЕС ЦЕНТЪР 2“ ООД, гр. Пловдив</w:t>
      </w:r>
    </w:p>
    <w:p w:rsidR="00731F31" w:rsidRDefault="00CB18AC">
      <w:pPr>
        <w:pStyle w:val="af2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ЕИК: 160062872</w:t>
      </w:r>
    </w:p>
    <w:p w:rsidR="00731F31" w:rsidRDefault="00CB18AC">
      <w:pPr>
        <w:pStyle w:val="af2"/>
        <w:spacing w:before="0" w:beforeAutospacing="0" w:after="0" w:afterAutospacing="0" w:line="276" w:lineRule="auto"/>
        <w:jc w:val="center"/>
        <w:rPr>
          <w:b/>
          <w:iCs/>
        </w:rPr>
      </w:pPr>
      <w:r>
        <w:rPr>
          <w:b/>
          <w:iCs/>
        </w:rPr>
        <w:t>„СИФЕР“ ООД , гр. Пловдив</w:t>
      </w:r>
    </w:p>
    <w:p w:rsidR="00731F31" w:rsidRDefault="00CB18AC">
      <w:pPr>
        <w:pStyle w:val="af2"/>
        <w:spacing w:before="0" w:beforeAutospacing="0" w:after="0" w:afterAutospacing="0" w:line="276" w:lineRule="auto"/>
        <w:jc w:val="center"/>
        <w:rPr>
          <w:b/>
          <w:iCs/>
        </w:rPr>
      </w:pPr>
      <w:r>
        <w:rPr>
          <w:b/>
          <w:iCs/>
        </w:rPr>
        <w:t>ЕИК: 115861564</w:t>
      </w:r>
    </w:p>
    <w:p w:rsidR="00731F31" w:rsidRDefault="00CB18AC">
      <w:pPr>
        <w:pStyle w:val="af2"/>
        <w:spacing w:line="276" w:lineRule="auto"/>
        <w:ind w:firstLine="708"/>
        <w:rPr>
          <w:b/>
          <w:color w:val="000000"/>
        </w:rPr>
      </w:pPr>
      <w:r>
        <w:rPr>
          <w:b/>
          <w:color w:val="000000"/>
        </w:rPr>
        <w:lastRenderedPageBreak/>
        <w:t>УВАЖАЕМИ Г-Н ДИРЕКТОР,</w:t>
      </w:r>
    </w:p>
    <w:p w:rsidR="00731F31" w:rsidRDefault="00CB18AC">
      <w:pPr>
        <w:ind w:firstLine="708"/>
        <w:jc w:val="both"/>
        <w:rPr>
          <w:b/>
        </w:rPr>
      </w:pPr>
      <w:r>
        <w:rPr>
          <w:color w:val="000000"/>
        </w:rPr>
        <w:t xml:space="preserve">Моля, да ни бъде издадено решение за преценяване на необходимостта от екологична оценка </w:t>
      </w:r>
      <w:r>
        <w:t>на</w:t>
      </w:r>
      <w:r>
        <w:rPr>
          <w:iCs/>
        </w:rPr>
        <w:t xml:space="preserve"> </w:t>
      </w:r>
      <w:r>
        <w:rPr>
          <w:b/>
          <w:iCs/>
        </w:rPr>
        <w:t>„ПУП – план за регулация и застрояване в обхвата на поземлени имоти:</w:t>
      </w:r>
      <w:r>
        <w:t xml:space="preserve"> </w:t>
      </w:r>
      <w:r>
        <w:rPr>
          <w:b/>
        </w:rPr>
        <w:t>61412.18.26, 18.93, 18.178, 18.31, 18.105, 18.181, 18.73, 18.74, 18.16, 18.68, 18.75, 18.76, 18.77, 18.67, 18.318, 18.32, 18.87, 18.52, 18.57, 18.91, 18.143, 18.177, 18.99, 18.51, 18.27 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p w:rsidR="00731F31" w:rsidRDefault="00CB18AC">
      <w:pPr>
        <w:pStyle w:val="af2"/>
        <w:spacing w:line="276" w:lineRule="auto"/>
        <w:ind w:firstLine="708"/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  <w:i/>
          <w:iCs/>
        </w:rPr>
        <w:t xml:space="preserve"> </w:t>
      </w:r>
      <w:r>
        <w:rPr>
          <w:i/>
          <w:iCs/>
          <w:color w:val="000000"/>
        </w:rPr>
        <w:t>(наименование на плана/програмата)</w:t>
      </w:r>
    </w:p>
    <w:p w:rsidR="00731F31" w:rsidRDefault="00CB18AC">
      <w:pPr>
        <w:pStyle w:val="af2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Във връзка с това предоставям следната информация по </w:t>
      </w:r>
      <w:r>
        <w:rPr>
          <w:rStyle w:val="samedocreference"/>
          <w:color w:val="000000"/>
        </w:rPr>
        <w:t>чл. 8а, ал. 1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:rsidR="00731F31" w:rsidRDefault="00CB18AC">
      <w:pPr>
        <w:pStyle w:val="af2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b/>
        </w:rPr>
        <w:t>1. Информация за възложителя на плана/програмата (орган или оправомощено по закон трето лице):</w:t>
      </w:r>
      <w:bookmarkStart w:id="3" w:name="_Hlk52968734"/>
    </w:p>
    <w:bookmarkEnd w:id="3"/>
    <w:p w:rsidR="00731F31" w:rsidRDefault="00CB18AC">
      <w:pPr>
        <w:spacing w:after="240" w:line="276" w:lineRule="auto"/>
        <w:rPr>
          <w:b/>
        </w:rPr>
      </w:pPr>
      <w:r>
        <w:rPr>
          <w:b/>
        </w:rPr>
        <w:t xml:space="preserve">„БИЗНЕС ЦЕНТЪР 2“ ООД, ЕИК 160062872, </w:t>
      </w:r>
    </w:p>
    <w:p w:rsidR="00731F31" w:rsidRDefault="00CB18AC">
      <w:pPr>
        <w:spacing w:after="240" w:line="276" w:lineRule="auto"/>
        <w:jc w:val="center"/>
        <w:rPr>
          <w:i/>
          <w:iCs/>
        </w:rPr>
      </w:pPr>
      <w:r>
        <w:rPr>
          <w:i/>
          <w:iCs/>
        </w:rPr>
        <w:t>(име, адрес и телефон за контакт)</w:t>
      </w:r>
    </w:p>
    <w:p w:rsidR="00731F31" w:rsidRDefault="00731F31">
      <w:pPr>
        <w:spacing w:line="276" w:lineRule="auto"/>
        <w:jc w:val="both"/>
      </w:pPr>
      <w:bookmarkStart w:id="4" w:name="_Hlk63336619"/>
    </w:p>
    <w:p w:rsidR="00731F31" w:rsidRDefault="00731F31">
      <w:pPr>
        <w:spacing w:line="276" w:lineRule="auto"/>
        <w:jc w:val="both"/>
        <w:rPr>
          <w:b/>
        </w:rPr>
      </w:pPr>
    </w:p>
    <w:p w:rsidR="00731F31" w:rsidRDefault="00CB18AC">
      <w:pPr>
        <w:rPr>
          <w:b/>
        </w:rPr>
      </w:pPr>
      <w:r>
        <w:rPr>
          <w:b/>
        </w:rPr>
        <w:t>„СИФЕР“ ООД  - Пловдив</w:t>
      </w:r>
      <w:r>
        <w:rPr>
          <w:b/>
          <w:bCs/>
        </w:rPr>
        <w:t xml:space="preserve">, </w:t>
      </w:r>
      <w:r>
        <w:rPr>
          <w:b/>
        </w:rPr>
        <w:t xml:space="preserve">  </w:t>
      </w:r>
    </w:p>
    <w:p w:rsidR="00731F31" w:rsidRDefault="00731F31">
      <w:pPr>
        <w:jc w:val="center"/>
        <w:rPr>
          <w:i/>
          <w:iCs/>
        </w:rPr>
      </w:pPr>
    </w:p>
    <w:p w:rsidR="00731F31" w:rsidRDefault="00CB18AC">
      <w:pPr>
        <w:jc w:val="center"/>
        <w:rPr>
          <w:i/>
          <w:iCs/>
        </w:rPr>
      </w:pPr>
      <w:r>
        <w:rPr>
          <w:i/>
          <w:iCs/>
        </w:rPr>
        <w:t>(име, адрес и телефон за контакт)</w:t>
      </w:r>
    </w:p>
    <w:p w:rsidR="00731F31" w:rsidRDefault="00731F31">
      <w:pPr>
        <w:jc w:val="center"/>
      </w:pPr>
    </w:p>
    <w:p w:rsidR="00E0134F" w:rsidRDefault="00E0134F">
      <w:pPr>
        <w:spacing w:line="276" w:lineRule="auto"/>
        <w:jc w:val="both"/>
      </w:pPr>
      <w:bookmarkStart w:id="5" w:name="_GoBack"/>
      <w:bookmarkEnd w:id="5"/>
    </w:p>
    <w:p w:rsidR="00E0134F" w:rsidRDefault="00E0134F">
      <w:pPr>
        <w:spacing w:line="276" w:lineRule="auto"/>
        <w:jc w:val="both"/>
      </w:pPr>
    </w:p>
    <w:p w:rsidR="00E0134F" w:rsidRDefault="00E0134F">
      <w:pPr>
        <w:spacing w:line="276" w:lineRule="auto"/>
        <w:jc w:val="both"/>
      </w:pPr>
    </w:p>
    <w:p w:rsidR="00E0134F" w:rsidRDefault="00E0134F">
      <w:pPr>
        <w:spacing w:line="276" w:lineRule="auto"/>
        <w:jc w:val="both"/>
      </w:pPr>
    </w:p>
    <w:bookmarkEnd w:id="4"/>
    <w:p w:rsidR="00731F31" w:rsidRDefault="00CB18AC">
      <w:pPr>
        <w:pStyle w:val="af2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 Обща информация за предложения план/програма:</w:t>
      </w:r>
    </w:p>
    <w:p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а) Основание за изготвяне на плана/програмата - нормативен или административен акт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Основание за изготвяне на плана е Решение на Общински съвет на община Марица № 611, взето с протокол № 14 от 08.12.2022 г. за проектиране. Същото е съобразено с действащия ОУП на Община Марица.</w:t>
      </w:r>
      <w:r>
        <w:rPr>
          <w:color w:val="000000" w:themeColor="text1"/>
        </w:rPr>
        <w:tab/>
      </w: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70C0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б) Период на действие и етапи на изпълнение на плана/програмата</w:t>
      </w:r>
    </w:p>
    <w:p w:rsidR="00E0134F" w:rsidRDefault="00E0134F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</w:p>
    <w:p w:rsidR="00731F31" w:rsidRDefault="00CB18AC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Разработеният проект за ПУП-ПРЗ влиза в сила от датата на одобряването му. За реализирането му е необходимо преминаване през следните етапи на изпълнение:</w:t>
      </w:r>
    </w:p>
    <w:p w:rsidR="00E0134F" w:rsidRDefault="00E0134F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</w:p>
    <w:p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Разрешение от Кмета на Общината за изработване на проект за изменение на плана въз основа на постъпило искане;</w:t>
      </w:r>
    </w:p>
    <w:p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Преценка необходимостта от извършване на Екологична оценка от Директора на РИОСВ-Пловдив;</w:t>
      </w:r>
    </w:p>
    <w:p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Приемане на ПУП-ПРЗ от </w:t>
      </w:r>
      <w:r>
        <w:rPr>
          <w:color w:val="000000" w:themeColor="text1"/>
          <w:lang w:val="en-US"/>
        </w:rPr>
        <w:t>O</w:t>
      </w:r>
      <w:r>
        <w:rPr>
          <w:color w:val="000000" w:themeColor="text1"/>
        </w:rPr>
        <w:t>бщинския експертен съвет и одобряването му от Кмета на Общината;</w:t>
      </w:r>
    </w:p>
    <w:p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Провеждане на процедура за промяна начина на трайно ползване на имотите, обособени в съответната структурната единиц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;</w:t>
      </w:r>
    </w:p>
    <w:p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виза за проектиране;</w:t>
      </w:r>
    </w:p>
    <w:p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Изработване на технологични проекти, архитектурни проекти и проекти по отделните части /ОВ, ВиК и Ел. инст./;</w:t>
      </w:r>
    </w:p>
    <w:p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строителни разрешителни за имотите.</w:t>
      </w:r>
    </w:p>
    <w:p w:rsidR="00E0134F" w:rsidRDefault="00E0134F" w:rsidP="00E0134F">
      <w:pPr>
        <w:pStyle w:val="af2"/>
        <w:spacing w:line="276" w:lineRule="auto"/>
        <w:ind w:left="720"/>
        <w:jc w:val="both"/>
        <w:rPr>
          <w:color w:val="000000" w:themeColor="text1"/>
        </w:rPr>
      </w:pPr>
    </w:p>
    <w:p w:rsidR="00731F31" w:rsidRPr="00E0134F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  <w:r w:rsidR="00E0134F">
        <w:rPr>
          <w:color w:val="000000" w:themeColor="text1"/>
        </w:rPr>
        <w:t>.</w:t>
      </w:r>
    </w:p>
    <w:p w:rsidR="00E0134F" w:rsidRPr="00E0134F" w:rsidRDefault="00E0134F" w:rsidP="00E0134F">
      <w:pPr>
        <w:ind w:firstLine="708"/>
        <w:jc w:val="both"/>
      </w:pPr>
      <w:r w:rsidRPr="00E0134F">
        <w:rPr>
          <w:iCs/>
        </w:rPr>
        <w:t>„ПУП – план за регулация и застрояване в обхвата на поземлени имоти:</w:t>
      </w:r>
      <w:r w:rsidRPr="00E0134F">
        <w:t xml:space="preserve"> 61412.18.26, 18.93, 18.178, 18.31, 18.105, 18.181, 18.73, 18.74, 18.16, 18.68, 18.75, 18.76, 18.77, 18.67, 18.318, 18.32, 18.87, 18.52, 18.57, 18.91, 18.143, 18.177, 18.99, 18.51, 18.27 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p w:rsidR="00731F31" w:rsidRDefault="00CB18AC">
      <w:pPr>
        <w:pStyle w:val="af2"/>
        <w:spacing w:before="0" w:beforeAutospacing="0" w:after="0" w:afterAutospacing="0" w:line="276" w:lineRule="auto"/>
        <w:ind w:left="-45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noProof/>
          <w:color w:val="000000" w:themeColor="text1"/>
        </w:rPr>
        <w:lastRenderedPageBreak/>
        <w:drawing>
          <wp:inline distT="0" distB="0" distL="0" distR="0">
            <wp:extent cx="5814695" cy="4322445"/>
            <wp:effectExtent l="0" t="0" r="14605" b="1905"/>
            <wp:docPr id="1" name="Picture 1" descr="D:\Users\marti\Desktop\Screenshot 2023-01-27 140759.pngScreenshot 2023-01-27 14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Users\marti\Desktop\Screenshot 2023-01-27 140759.pngScreenshot 2023-01-27 14075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438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:rsidR="00B91FC4" w:rsidRDefault="00B91FC4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Засегнати елементи от Националната екологична мрежа (НЕМ)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:rsidR="00731F31" w:rsidRDefault="00731F31">
      <w:pPr>
        <w:spacing w:line="276" w:lineRule="auto"/>
        <w:rPr>
          <w:color w:val="000000" w:themeColor="text1"/>
        </w:rPr>
      </w:pPr>
    </w:p>
    <w:p w:rsidR="00731F31" w:rsidRDefault="00CB18AC">
      <w:pPr>
        <w:spacing w:line="276" w:lineRule="auto"/>
        <w:ind w:left="-540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760720" cy="4554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31" w:rsidRDefault="00731F31">
      <w:pPr>
        <w:spacing w:line="276" w:lineRule="auto"/>
        <w:ind w:left="-180"/>
        <w:jc w:val="center"/>
        <w:rPr>
          <w:color w:val="000000" w:themeColor="text1"/>
        </w:rPr>
      </w:pPr>
    </w:p>
    <w:p w:rsidR="00731F31" w:rsidRDefault="00CB18AC">
      <w:pPr>
        <w:spacing w:line="276" w:lineRule="auto"/>
        <w:ind w:left="-90" w:hanging="180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:rsidR="00731F31" w:rsidRDefault="00731F31">
      <w:pPr>
        <w:spacing w:line="276" w:lineRule="auto"/>
        <w:jc w:val="center"/>
        <w:rPr>
          <w:color w:val="000000" w:themeColor="text1"/>
        </w:rPr>
      </w:pPr>
    </w:p>
    <w:p w:rsidR="00731F31" w:rsidRDefault="00731F31">
      <w:pPr>
        <w:spacing w:line="276" w:lineRule="auto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Основни цели на плана/програмата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ПУП-ПРЗ предвижда обединяване на описаните имоти в един по – голям, с бъдещ идентификатор 61412.18.</w:t>
      </w:r>
      <w:r w:rsidR="006079A2">
        <w:rPr>
          <w:color w:val="000000" w:themeColor="text1"/>
        </w:rPr>
        <w:t>170</w:t>
      </w:r>
      <w:r>
        <w:rPr>
          <w:color w:val="000000" w:themeColor="text1"/>
        </w:rPr>
        <w:t>. Разработката предвижда промяна предназначение на УПИ 18.</w:t>
      </w:r>
      <w:r w:rsidR="006079A2">
        <w:rPr>
          <w:color w:val="000000" w:themeColor="text1"/>
        </w:rPr>
        <w:t>17</w:t>
      </w:r>
      <w:r>
        <w:rPr>
          <w:color w:val="000000" w:themeColor="text1"/>
        </w:rPr>
        <w:t xml:space="preserve">0 с цел създаване на условия за изграждане на „Въглеродно неутрален индустриален парк Марица“ – стратегически проект за бъдещо „зелено” развитие на индустриалната зона. </w:t>
      </w:r>
    </w:p>
    <w:p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е) Финансиране на плана/програмата </w:t>
      </w:r>
      <w:r>
        <w:rPr>
          <w:i/>
          <w:iCs/>
          <w:color w:val="000000" w:themeColor="text1"/>
        </w:rPr>
        <w:t>(държавен, общински бюджет или международни програми, други финансови институции)</w:t>
      </w:r>
    </w:p>
    <w:p w:rsidR="00731F31" w:rsidRDefault="00CB18AC">
      <w:pPr>
        <w:pStyle w:val="af2"/>
        <w:spacing w:line="276" w:lineRule="auto"/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Уреждането на условията за финансирането на ПУП-ПРЗ е задължение на Възложителя.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Етапи на изготвяне на ПУП-ПРЗ:</w:t>
      </w:r>
    </w:p>
    <w:p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Изработеният проект за подробен устройствен план се съобщава от Общината на заинтересуваните лица с обявление, което в 10-дневен срок от постъпването на проекта в общинската администрация се изпраща за обнародване в "Държавен вестник";</w:t>
      </w:r>
    </w:p>
    <w:p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Обявлението на изработения проект на ПУП-ПРЗ се разгласява, като се поставя на определените за това места в сградата на Общината, района или кметството,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Разгласяването по този ред се извършва в 10-дневен срок от обнародването на обявлението;</w:t>
      </w:r>
    </w:p>
    <w:p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 от обявлението,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администрация;</w:t>
      </w:r>
    </w:p>
    <w:p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Съгласуване на проекта за ПУП-ПРЗ със заинтересуваните териториални администрации - служебно от Кмета на Общината;</w:t>
      </w:r>
    </w:p>
    <w:p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срок, след изтичане на срока за реакция на заинтересуваните лица, проектът на ПУП-ПРЗ заедно с постъпилите възражения, предложения и искания се приема от общинския експертен съвет;</w:t>
      </w:r>
    </w:p>
    <w:p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Одобряване на ПУП-ПРЗ със заповед на Кмета на Общината, в 14-дневен срок след приемането на проекта за подробен устройствен план от експертен съвет. Заповедите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територията.</w:t>
      </w:r>
    </w:p>
    <w:p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Одобрените подробни устройствени планове се публикуват на интернет страницата на органа, който ги е одобрил, в тридневен срок от одобряването им. Разработеният проект за плана ПУП-ПРЗ влиза в сила от датата на одобряването му.</w:t>
      </w:r>
    </w:p>
    <w:p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След приключване на процедурата по промяната на земеделската земя ще започне проектиране на парцеларни планове и проекти за изработване на инфраструктура. На терена няма съществуваща инфраструктура, преедстои изграждането на нова, след одобряване на ПУП- ПРЗ,  ПУП-ПП и инвестиционните проекти.   </w:t>
      </w:r>
    </w:p>
    <w:p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органа, отговорен за прилагането на плана/програмата</w:t>
      </w:r>
    </w:p>
    <w:p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Прилагането на ПУП-ПРЗ се контролира от съответните община и РИОСВ.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Орган за приемане/одобряване/утвърждаване на плана/програмата</w:t>
      </w:r>
    </w:p>
    <w:p w:rsidR="00731F31" w:rsidRDefault="00CB18AC">
      <w:pPr>
        <w:pStyle w:val="af2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Проектът за ПУП-ПРЗ се приема от експертен съвет на общината и се одобрява от общински съвет със заповед на кмета на общината. </w:t>
      </w:r>
    </w:p>
    <w:p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5. </w:t>
      </w:r>
      <w:r>
        <w:rPr>
          <w:i/>
          <w:iCs/>
          <w:color w:val="000000"/>
        </w:rPr>
        <w:t>(не е задължително за попълване)</w:t>
      </w:r>
    </w:p>
    <w:p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 Моля да бъде допуснато извършването само на екологична оценка (ЕО)/В случаите по </w:t>
      </w:r>
      <w:r>
        <w:rPr>
          <w:rStyle w:val="newdocreference"/>
          <w:color w:val="000000"/>
        </w:rPr>
        <w:t>чл. 91, ал. 2 от Закона за опазване на околната среда (ЗООС)</w:t>
      </w:r>
      <w:r>
        <w:rPr>
          <w:color w:val="000000"/>
        </w:rPr>
        <w:t>, когато за инвестиционно предложение, включено в </w:t>
      </w:r>
      <w:r>
        <w:rPr>
          <w:rStyle w:val="newdocreference"/>
          <w:color w:val="000000"/>
        </w:rPr>
        <w:t>приложение № 1</w:t>
      </w:r>
      <w:r>
        <w:rPr>
          <w:color w:val="000000"/>
        </w:rPr>
        <w:t> или в </w:t>
      </w:r>
      <w:r>
        <w:rPr>
          <w:rStyle w:val="newdocreference"/>
          <w:color w:val="000000"/>
        </w:rPr>
        <w:t>приложение № 2 към ЗООС</w:t>
      </w:r>
      <w:r>
        <w:rPr>
          <w:color w:val="000000"/>
        </w:rPr>
        <w:t>, се изисква и изготвянето на самостоятелен план или програма по </w:t>
      </w:r>
      <w:r>
        <w:rPr>
          <w:rStyle w:val="newdocreference"/>
          <w:color w:val="000000"/>
        </w:rPr>
        <w:t>чл. 85, ал. 1 и 2 от ЗООС</w:t>
      </w:r>
      <w:r>
        <w:rPr>
          <w:color w:val="000000"/>
        </w:rPr>
        <w:t> поради следните основания (мотиви):</w:t>
      </w:r>
    </w:p>
    <w:p w:rsidR="00B91FC4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  <w:u w:val="single"/>
        </w:rPr>
        <w:t>Приложение:</w:t>
      </w:r>
    </w:p>
    <w:p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А. Информация по </w:t>
      </w:r>
      <w:r>
        <w:rPr>
          <w:rStyle w:val="samedocreference"/>
          <w:color w:val="000000"/>
        </w:rPr>
        <w:t>чл. 8а, ал. 2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1. Характеристика на плана/програмата относно: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/>
        </w:rPr>
        <w:t>а) инвестиционните предложения по </w:t>
      </w:r>
      <w:r>
        <w:rPr>
          <w:rStyle w:val="newdocreference"/>
          <w:color w:val="000000"/>
        </w:rPr>
        <w:t>приложение № 1 към чл. 92, т. 1</w:t>
      </w:r>
      <w:r>
        <w:rPr>
          <w:color w:val="000000"/>
        </w:rPr>
        <w:t> и </w:t>
      </w:r>
      <w:r>
        <w:rPr>
          <w:rStyle w:val="newdocreference"/>
          <w:color w:val="000000"/>
        </w:rPr>
        <w:t>приложение № 2 към чл. 93, ал. 1, т. 1 и 2 към ЗООС</w:t>
      </w:r>
      <w:r>
        <w:rPr>
          <w:color w:val="000000"/>
        </w:rPr>
        <w:t xml:space="preserve">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</w:t>
      </w:r>
      <w:r>
        <w:rPr>
          <w:color w:val="000000" w:themeColor="text1"/>
        </w:rPr>
        <w:t>местоположение, характер, мащабност и експлоатационни условия: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ПУП-ПРЗ определя обособяване на индустриална зона, в която се предвижда последващо реализиране на различни видове производствени и търговски обекти.</w:t>
      </w:r>
    </w:p>
    <w:p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Реализирането им ще бъде поетапно и свързано с преминаването на процедура по реда на Глава шеста от ЗООС за всеки един от тях.</w:t>
      </w:r>
    </w:p>
    <w:p w:rsidR="00731F31" w:rsidRDefault="00731F31">
      <w:pPr>
        <w:spacing w:line="276" w:lineRule="auto"/>
        <w:jc w:val="both"/>
        <w:rPr>
          <w:color w:val="000000" w:themeColor="text1"/>
        </w:rPr>
      </w:pPr>
    </w:p>
    <w:p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Устройствените планове в съответствие с изискванията на чл. 7 и 10 от ЗУТ имат за цел: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планова основа за дългосрочно, устойчиво устройствено развитие на териториите, обвързано с документите за стратегическо планиране и програмиране на регионалното развитие и с документите за стратегическо планиране на пространственото развитие;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условия за живеене и реализация на дейности за приоритетно социално-икономическо развитие;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границите на териториите, в зависимост от основното или конкретното им предназначение, както и допустимите и забранените дейности в тях и изискванията при използването, опазването и застрояването им;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•</w:t>
      </w:r>
      <w:r>
        <w:rPr>
          <w:color w:val="000000" w:themeColor="text1"/>
        </w:rPr>
        <w:tab/>
        <w:t>да определят насоките за териториалното развитие на урбанизираните територии и екологичното им съвместяване със земеделските, горските и защитените територии и зони с оглед постигане на оптимална териториална структура;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предвиждат подходящо развитие на техническата инфраструктура и обвързването на националните инфраструктурни коридори с европейските;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устройството на поземлените имоти съобразно конкретното им предназначение и да осигуряват опазването на недвижимото културно наследство;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правила и нормативи за прилагане на устройствените планове съобразно местните и регионални характеристики на териториите - предмет на устройственото планиране, както и специфични правила и нормативи към тях.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ПУП-ПРЗ не влиза в противоречие с други планове и програми.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Подробните устройствени планове, заемат второ място в йерархията на планиране, след общия устройствен план /ОУП/.</w:t>
      </w:r>
    </w:p>
    <w:p w:rsidR="00731F31" w:rsidRDefault="00731F31">
      <w:pPr>
        <w:spacing w:line="276" w:lineRule="auto"/>
        <w:ind w:firstLine="567"/>
        <w:jc w:val="both"/>
        <w:rPr>
          <w:color w:val="000000" w:themeColor="text1"/>
        </w:rPr>
      </w:pPr>
    </w:p>
    <w:p w:rsidR="00731F31" w:rsidRDefault="00CB18AC">
      <w:pPr>
        <w:spacing w:line="276" w:lineRule="auto"/>
        <w:jc w:val="both"/>
      </w:pPr>
      <w: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:rsidR="00731F31" w:rsidRDefault="00731F31">
      <w:pPr>
        <w:spacing w:line="276" w:lineRule="auto"/>
        <w:ind w:firstLine="567"/>
        <w:jc w:val="both"/>
        <w:rPr>
          <w:color w:val="0070C0"/>
        </w:rPr>
      </w:pP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Реализирането на ПУП-ПРЗ и последващите действия предполага чувствително увеличаване на материалните активи на избраната територия, създаване на възможност за нови работни места и привличане на инвестиции – важен фактор за устойчиво развитие на района.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плана се цели интегриране на предвижданията на възложителите, по отношение на околната среда, в процеса на развитие като цяло и опазване на околната среда, основавайки се на следните принципи:</w:t>
      </w:r>
    </w:p>
    <w:p w:rsidR="00731F31" w:rsidRDefault="00CB18AC">
      <w:pPr>
        <w:pStyle w:val="af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устойчиво развитие;</w:t>
      </w:r>
    </w:p>
    <w:p w:rsidR="00731F31" w:rsidRDefault="00CB18AC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участие на обществеността и прозрачност в процеса на вземане на решения;</w:t>
      </w:r>
    </w:p>
    <w:p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съхраняване и опазване на екосистемите; предотвратяване замърсяването и увреждането на този район.</w:t>
      </w:r>
    </w:p>
    <w:p w:rsidR="00731F31" w:rsidRDefault="00CB18AC">
      <w:pPr>
        <w:pStyle w:val="af5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„Зелената сделка” на ЕС, част от която е реализирането на въглеродно неутрален парк, включва още опазване на биологичното разнообразие, установяване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0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кръгова икономика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ограничаване на замърсяването на околната среда,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1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повишаване на индустриалната конкурентоспособност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осигуряването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2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справедлив преход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за засегнатите региони и работници.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екологични проблеми от значение за плана/програмата: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Община Марица не е „</w:t>
      </w:r>
      <w:r>
        <w:rPr>
          <w:i/>
          <w:color w:val="000000" w:themeColor="text1"/>
        </w:rPr>
        <w:t>гореща екологична точка</w:t>
      </w:r>
      <w:r>
        <w:rPr>
          <w:color w:val="000000" w:themeColor="text1"/>
        </w:rPr>
        <w:t>”, съгласно изводите, направени в Регионален доклад за състоянието на околната среда за 2021 г. на РИОСВ Пловдив. На територията на Общината не съществуват производствени и други обекти, които да причиняват значителни замърсявания на компонентите на околната среда.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Съществуващите екологични проблеми са в резултат основно на: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наличие на нерегламентирани сметища за твърди битови отпадъци, които са един от източниците на замърсяване на подземни води и почви;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- неспазване на нормативната уредба за ритмично проектиране и строителство на канализации за отпадъчни води и необходимите пречиствателни съоръжения към тях, което е източник на  замърсяване на повърхностните води;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селскостопанска обработка (поливане и торене) на земеделските земи, което е източник за замърсяване на почви и подземни води;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- неспазване на нормативните изисквания, описани в разрешителните режими на промишлените предприятия в региона – източник на замърсяване на води и въздух в региона.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Реализирането на ПУП-ПРЗ само по себе си не решава екологични проблеми, но не ги и задълбочава. Засяга социалната сфера и човешкия фактор в района на с. Радиново и околните селища, създавайки условия за нови работни места.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значение на плана/програмата за изпълнението на общностното законодателство в областта на околната среда: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Реализирането на ПУП-ПРЗ ще се извърши в съответствие със законодателството в областта на околната среда. 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Последващите инвестиционни проекти след създаване на индустриалния парк   ще допринесат за осъществяване на една от основните цели на развитие на Община Марица: </w:t>
      </w:r>
    </w:p>
    <w:p w:rsidR="00731F31" w:rsidRDefault="00CB18AC">
      <w:pPr>
        <w:spacing w:line="276" w:lineRule="auto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„Стабилен инвестиционен интерес, насочен към устойчив и интелигентен икономически растеж, гарантиращ висок жизнен стандарт за хората, съхранена природа и благоустроена среда за обитаване, труд и отдих“.</w:t>
      </w:r>
    </w:p>
    <w:p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е) наличие на алтернативи:</w:t>
      </w:r>
    </w:p>
    <w:p w:rsidR="00731F31" w:rsidRDefault="00731F31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Територията, избрана за реализиране на ПУП-ПРЗ, дава възможност за оптималното ú използване и осъществяването му отговаря на предвижданията на действащия ОУП на територията на община Марица и намеренията на възложителите.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 в обхвата на ПУП-ПРЗ не са разглеждани други алтернативи относно бъдещо развитие.</w:t>
      </w:r>
    </w:p>
    <w:p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i/>
          <w:color w:val="000000" w:themeColor="text1"/>
        </w:rPr>
        <w:t>Нулевата алтернатива</w:t>
      </w:r>
      <w:r>
        <w:rPr>
          <w:color w:val="000000" w:themeColor="text1"/>
        </w:rPr>
        <w:t xml:space="preserve"> е да се запази съществуващото предназначение на имотите, без да бъдат обединени, което не носи определени предимства.</w:t>
      </w:r>
    </w:p>
    <w:p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Съществуващите към момента екологични условия, няма да бъдат променени.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Обосновка на конкретната необходимост от изготвянето на плана/програмата:</w:t>
      </w:r>
    </w:p>
    <w:p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202122"/>
          <w:shd w:val="clear" w:color="auto" w:fill="FFFFFF"/>
        </w:rPr>
        <w:t xml:space="preserve"> „Зелената сделка” представлява нова стратегия за растеж, политика и пътна карта на Европейския съюз (ЕС), която има за цел превръщането на ЕС в справедливо и благоденстващо общество с модерна, ресурсно ефективна и конкурентноспособна икономика, в която през 2050 г. няма да има нетни емисии на парникови газове и икономическият растеж да не зависи от използването на ресурси. Чрез нея Европейският </w:t>
      </w:r>
      <w:r>
        <w:rPr>
          <w:color w:val="202122"/>
          <w:shd w:val="clear" w:color="auto" w:fill="FFFFFF"/>
        </w:rPr>
        <w:lastRenderedPageBreak/>
        <w:t>съюз подновява своя ангажимент за справяне с предизвикателствата, свързани със затоплянето на атмосферата и изменението на климата, замърсяването на планетата, опазването на застрашени от изчезване биологични видове, обезлесяване и др. Европейският зелен пакт цели да отговори на тези и други предизвикателства.</w:t>
      </w:r>
      <w:r>
        <w:rPr>
          <w:color w:val="000000" w:themeColor="text1"/>
        </w:rPr>
        <w:t xml:space="preserve"> Реализирането на настоящия ПУП-ПРЗ за територията се явява началната стъпка за бъдеща реализация на въглеродно неутрален парк, в изпълнение на планираното развитие на ЕС до 2050 г. в областта.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Удовлетворяване на изискванията на настъпилите икономически промени и инвестиционната активност в региона също допринасят необходимостта от изготвянето и реализирането на ПУП-ПРЗ.</w:t>
      </w:r>
    </w:p>
    <w:p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планове и програми и инвестиционни предложения, свързани с предложения план/програма:</w:t>
      </w:r>
    </w:p>
    <w:p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Съгласно чл.103, ал.4 от ЗУТ “Всеки устройствен план се съобразява с предвижданията на устройствените схеми и планове от по-горна степен, ако има такива и представлява по отношение на тях по-пълна, по-подробна и конкретна разработка”. Общият устройствен план стои най-високо в йерархията и определя нормативи към конкретните подробни устройствени планове, касаещи отделните имоти в обхвата на устройствената зона.</w:t>
      </w:r>
    </w:p>
    <w:p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Последващата реализация на различни индустриални и търговски обекти ще е предхождана от изискуемите процедури по реда на глава Шеста от ЗООС.</w:t>
      </w:r>
    </w:p>
    <w:p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4. Характеристики на последиците и на пространството, което е вероятно да бъде засегнато, като се отчитат по-специално:</w:t>
      </w:r>
    </w:p>
    <w:p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а) </w:t>
      </w:r>
      <w:bookmarkStart w:id="6" w:name="_Hlk89677975"/>
      <w:r>
        <w:rPr>
          <w:color w:val="000000"/>
        </w:rPr>
        <w:t>вероятността, продължителността, честотата и обратимостта</w:t>
      </w:r>
      <w:bookmarkEnd w:id="6"/>
      <w:r>
        <w:rPr>
          <w:color w:val="000000"/>
        </w:rPr>
        <w:t xml:space="preserve"> на последиците: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/>
        </w:rPr>
        <w:tab/>
      </w:r>
      <w:r>
        <w:rPr>
          <w:color w:val="000000" w:themeColor="text1"/>
        </w:rPr>
        <w:t xml:space="preserve">Въздействие върху компонентите на околната среда се очаква да има на </w:t>
      </w:r>
      <w:r>
        <w:rPr>
          <w:i/>
          <w:color w:val="000000" w:themeColor="text1"/>
        </w:rPr>
        <w:t>етапа на строителните дейности</w:t>
      </w:r>
      <w:r>
        <w:rPr>
          <w:color w:val="000000" w:themeColor="text1"/>
        </w:rPr>
        <w:t xml:space="preserve">, касаещи изграждането на нови обекти в устройствената зона. 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Очакваното въздействие ще е незначително, временно, краткотрайно, локално, с възможност за пълно възстановяване с приключване на строителните работи. 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>Всички бъдещи инвестиционни проекти в новосъздадената урбанизирана територия ще преминат процедури по Глава шеста на ЗООС, в които ще бъде оценено въздействието върху компонентите на околната среда.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i/>
          <w:color w:val="000000" w:themeColor="text1"/>
        </w:rPr>
        <w:t>При експлоатацията</w:t>
      </w:r>
      <w:r>
        <w:rPr>
          <w:color w:val="000000" w:themeColor="text1"/>
        </w:rPr>
        <w:t>, при спазване изискванията на екологичното законодателство, не се очакват негативни въздействия.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7" w:name="_Hlk114151210"/>
      <w:r>
        <w:rPr>
          <w:b/>
          <w:i/>
          <w:color w:val="000000" w:themeColor="text1"/>
        </w:rPr>
        <w:t>За етапа на проектиране и изработване на ПУП- ПРЗ</w:t>
      </w:r>
      <w:bookmarkEnd w:id="7"/>
      <w:r>
        <w:rPr>
          <w:color w:val="000000" w:themeColor="text1"/>
        </w:rPr>
        <w:t xml:space="preserve"> по-долу е направена характеристика на въздействията върху компонентите на околната среда и свързаните с тях последици, както и техните териториален обхват, вероятност, продължителност, честота и обратимост.</w:t>
      </w:r>
    </w:p>
    <w:p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населението и човешкото здраве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Прогнозен характер на въздействието: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Реализацията на предвижданията на ПУП-ПРЗ няма вероятност да доведе до риск за здравето на хората или околната среда. С промяната на плана и предвиденото увеличаване на урбанизираната територия ще се осигурят допълнителни работни места с дълготрайна продължителност. </w:t>
      </w:r>
    </w:p>
    <w:p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С реализацията на ПУП-ПРЗ се очаква да има пряко, постоянно, дълготрайно, положително въздействие върху човешкия фактор.</w:t>
      </w:r>
    </w:p>
    <w:p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ПУП-ПРЗ ще окаже положително влияние върху социалната сфера и човешкия фактор в района.</w:t>
      </w:r>
    </w:p>
    <w:p w:rsidR="00731F31" w:rsidRDefault="00731F31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Въздействие върху Атмосферен въздух и климат </w:t>
      </w:r>
    </w:p>
    <w:p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Основните показатели, характеризиращи качеството на атмосферния въздух в приземния слой, са суспендирани частици, фини прахови частици, серен диоксид, азотен диоксид и/или азотни оксиди, въглероден оксид, озон, олово (аерозол), бензен, полициклични ароматни въглеводороди, тежки метали – кадмий, никел и живак, арсен.</w:t>
      </w:r>
    </w:p>
    <w:p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 територията на община Марица няма постоянен пункт от Националната система за мониторинг на околната среда (НСМОС). </w:t>
      </w:r>
    </w:p>
    <w:p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Въпреки характерните за района на Област Пловдив неблагоприятни фактори, като топографски особености, климатични и метеорологични условия (мъгли по поречието на реките, продължителни периоди на засушаване и голям брой дни в годината с тихо време- скорост на вятъра под 1,5 m/s), рефлектиращи силно върху ниско емитиращите източници – транспорт (с целогодишно въздействие) и битово отопление (със сезонно действие и в пряка връзка с температурата на околната среда), качеството на атмосферния въздух в община Марица е добро. Общината не е регистрирана като „гореща екологична точка”.</w:t>
      </w:r>
    </w:p>
    <w:p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Производствените дейности са концентрирани в обособени производствени зони, включително в близост до територията на ПУП-ПРЗ около с. Радиново, Бенковски и в стопанските дворове на останалите населени места в общината. Топлоенергийните съоръжения използват природен газ и от твърдите горива – дървесен чипс. В общината се експлоатират бензиностанции и обекти с хладилни и/или климатични системи, използващи флуорсъдържащи парникови газове.</w:t>
      </w:r>
    </w:p>
    <w:p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Регионалната инспекция по околна среда и води (РИОСВ) Пловдив извършва</w: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контрол на емисии на вредни вещества – прах, въглероден оксид, серен диоксид, азотни оксиди, летливи органични съединения и органични вещества в атмосферния въздух. Контролираните обекти с утвърдени точки за вземане проби за провеждане на мониторинг на емисиите на вредни вещества, изпускани в атмосферния въздух през 2021 г. са 24 бр.</w:t>
      </w:r>
    </w:p>
    <w:p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lastRenderedPageBreak/>
        <w:t xml:space="preserve">При извършените измервания на вредностите, изпускани в атмосферния въздух от обекти с точкови източници в района на общината, не са констатирани превишения на нормите за допустими емисии (НДЕ). </w:t>
      </w:r>
    </w:p>
    <w:p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:rsidR="00731F31" w:rsidRDefault="00CB18AC">
      <w:pPr>
        <w:spacing w:line="276" w:lineRule="auto"/>
        <w:ind w:firstLine="540"/>
        <w:jc w:val="both"/>
        <w:rPr>
          <w:bCs/>
          <w:i/>
          <w:color w:val="000000" w:themeColor="text1"/>
        </w:rPr>
      </w:pPr>
      <w:r>
        <w:rPr>
          <w:bCs/>
          <w:color w:val="000000" w:themeColor="text1"/>
        </w:rPr>
        <w:t>Очакваното въздействие върху качеството на атмосферния въздух от реализиране ПУП-ПРЗ е пряко, дълготрайно и положително.</w:t>
      </w:r>
    </w:p>
    <w:p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</w:p>
    <w:p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реализиране ПУП-ПРЗ и последващите дейности не се очакват негативни последици върху атмосферния въздух и климата. </w:t>
      </w:r>
    </w:p>
    <w:p w:rsidR="00731F31" w:rsidRDefault="00731F31">
      <w:pPr>
        <w:spacing w:line="276" w:lineRule="auto"/>
        <w:jc w:val="both"/>
        <w:rPr>
          <w:b/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върху земите и почвите</w:t>
      </w:r>
    </w:p>
    <w:p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територията, обект на плана, са характерни два вида почви:</w:t>
      </w:r>
    </w:p>
    <w:p w:rsidR="00731F31" w:rsidRDefault="00CB18AC">
      <w:pPr>
        <w:pStyle w:val="af5"/>
        <w:numPr>
          <w:ilvl w:val="0"/>
          <w:numId w:val="4"/>
        </w:numPr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ливадно-канелени, тежко песъчливо-глинести;</w:t>
      </w:r>
    </w:p>
    <w:p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канелено-подзолисти (псевдоподзолисти), ниско долинни (мощно хумусни), глинесто-песъчливи.</w:t>
      </w:r>
    </w:p>
    <w:p w:rsidR="00731F31" w:rsidRDefault="00CB18AC">
      <w:pPr>
        <w:pStyle w:val="af5"/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Повърхностният хоризонт се характеризира с канелен цвят, песъчливо-глинест механичен състав и нездрава структура. </w:t>
      </w:r>
    </w:p>
    <w:p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Дейностите, при които се очаква въздействие върху земите и почвите са: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строителни, вкл. изкопни дейности при изграждане на бъдещите обекти на обособената територия;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изграждане на ВиК връзки с оглед бъдещо изграждане на площадкови мрежи, които ще захранят конкретните обекти;</w:t>
      </w:r>
    </w:p>
    <w:p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утъпкване на почвите от тежки транспортни машини.</w:t>
      </w:r>
    </w:p>
    <w:p w:rsidR="00731F31" w:rsidRDefault="00731F31">
      <w:pPr>
        <w:spacing w:line="276" w:lineRule="auto"/>
        <w:jc w:val="both"/>
        <w:rPr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Прогнозна оценка на въздействието:</w:t>
      </w:r>
    </w:p>
    <w:p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 време на строителните дейности се очаква въздействие върху този компонент на околната среда, чрез отнемане на необходимото количество при полагане основите на елементите, изграждащи обектите. </w:t>
      </w:r>
    </w:p>
    <w:p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Предвидено е увеличаване на урбанизираната територия, което ще доведе до загуба на естествен терен.</w:t>
      </w:r>
    </w:p>
    <w:p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Ако не се осъществи плана и не се реализира използването им,  най-вероятното ще продължи запустяването на терените и тяхното постепенно обрастване с храсти и дървета. Малко вероятно е имотите, отредени за ниви, да започнат да се експлоатират като такива. Като цяло почвите са плитки, сухи, неплодородни, с тънък хумусен пласт, податливи на ерозия, липсват подпочвени води и влажността им зависи изцяло от валежите. </w:t>
      </w:r>
    </w:p>
    <w:p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нереализиране на последващите инвестиционни намерения за тези територии ще се увеличи интензивността на ерозията им (ветрова и водна). Стичащата се свободно вода при обилни валежи ще доведе до интензивна площна и браздова водна ерозия, която </w:t>
      </w:r>
      <w:r>
        <w:rPr>
          <w:color w:val="000000" w:themeColor="text1"/>
        </w:rPr>
        <w:lastRenderedPageBreak/>
        <w:t>най-силно се проявява върху обработваеми земи, разположени на еднообразни склонове и при незаети с растителност терени.</w:t>
      </w:r>
    </w:p>
    <w:p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върху земите и почвите е: </w:t>
      </w:r>
    </w:p>
    <w:p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 вероятност – голяма, както за отрицателно въздействие поради загуба на естествени терени, така и за положително въздействие, поради намаляване интензивността на ветровата и водната ерозия на почвите;</w:t>
      </w:r>
    </w:p>
    <w:p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продължителност – дълготрайна;</w:t>
      </w:r>
    </w:p>
    <w:p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честота – постоянна; </w:t>
      </w:r>
    </w:p>
    <w:p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обратимост – възможна, при промяна на плана и обособяване на терена за друго предназначение;</w:t>
      </w:r>
    </w:p>
    <w:p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кумулативно – очаква се увеличаване на антропогенното влияние върху земеделските земи, които ще станат урбанизирани територии.</w:t>
      </w:r>
    </w:p>
    <w:p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реализирането на ПУП-ПРЗ и последващите инвестиционни намерения, свързани с производствени и търговски обекти в тези имоти ще има увеличаване на урбанизираната територия, което ще доведе до загуба на естествен терен, но едновременно с това ще се намали ветровата и водна ерозия в тези земи.</w:t>
      </w:r>
    </w:p>
    <w:p w:rsidR="00731F31" w:rsidRDefault="00731F31">
      <w:pPr>
        <w:spacing w:line="276" w:lineRule="auto"/>
        <w:ind w:firstLine="540"/>
        <w:jc w:val="both"/>
        <w:rPr>
          <w:b/>
          <w:i/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Въздействие върху водите </w:t>
      </w:r>
    </w:p>
    <w:p w:rsidR="00731F31" w:rsidRDefault="00731F31">
      <w:pPr>
        <w:spacing w:line="276" w:lineRule="auto"/>
        <w:ind w:firstLine="540"/>
        <w:jc w:val="both"/>
        <w:rPr>
          <w:b/>
          <w:bCs/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Повърхностни води</w:t>
      </w:r>
    </w:p>
    <w:p w:rsidR="00731F31" w:rsidRDefault="00CB18AC">
      <w:pPr>
        <w:spacing w:line="276" w:lineRule="auto"/>
        <w:ind w:firstLine="709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  <w:u w:val="single"/>
        </w:rPr>
        <w:t>Състояние на повърхностните водни тела в региона</w:t>
      </w:r>
    </w:p>
    <w:p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Имотите, обект ПУП-ПРЗ, попадат във водосбора на две повърхностни водни тела:</w:t>
      </w:r>
    </w:p>
    <w:p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BG3MA500R217 -р. Марица от р. Въча до р. Чепеларска, ГК-2, 4, 5 и 6 и Марковки колектор;</w:t>
      </w:r>
    </w:p>
    <w:p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BG3MA500R128 - р. Потока от гр. Съединение до устие.</w:t>
      </w:r>
    </w:p>
    <w:p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Съгласно Доклад за състоянието на водите в ИБР за 2021 г., първото водно тяло е в добро химично състояние и в умерено екологично състояние, с изместващи показатели Макрозообентос, Фитобентос, а второто водно тяло е добро химично състояние и лошо екологично състояние с изместващи показатели: Макрозообентос, Фитобентос, БПК</w:t>
      </w:r>
      <w:r>
        <w:rPr>
          <w:bCs/>
          <w:color w:val="000000" w:themeColor="text1"/>
          <w:vertAlign w:val="subscript"/>
        </w:rPr>
        <w:t>5</w:t>
      </w:r>
      <w:r>
        <w:rPr>
          <w:bCs/>
          <w:color w:val="000000" w:themeColor="text1"/>
        </w:rPr>
        <w:t>, нитрати, нитрити, фосфати, общ азот, общ фосфор, желязо и манган.</w:t>
      </w:r>
    </w:p>
    <w:p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Експлоатацията на бъдещите обекти на разглежданата територия не предполага директно въздействие върху повърхностните води в района. </w:t>
      </w:r>
    </w:p>
    <w:p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 бъдещите инвестиционни намерения ще се проведат процедури по Глава шеста на ЗООС и направи оценка на емисиите отпадъчни води, степента на пречистване и заустването им в повърхностни обекти ще бъде на разрешителен режим.</w:t>
      </w:r>
    </w:p>
    <w:p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При реализирането ПУП-ПРЗ и съблюдаване на законовите изисквания за управление на дейностите, които могат да влияят върху качеството и количеството на водите в региона, не се очакват съществени въздействия върху компонента.</w:t>
      </w:r>
    </w:p>
    <w:p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От реализиране ПУП-ПРЗ  и последващите дейности не се очакват последици върху повърхностните води.</w:t>
      </w:r>
    </w:p>
    <w:p w:rsidR="00731F31" w:rsidRDefault="00731F31">
      <w:pPr>
        <w:spacing w:line="276" w:lineRule="auto"/>
        <w:jc w:val="both"/>
        <w:rPr>
          <w:b/>
          <w:bCs/>
          <w:color w:val="000000" w:themeColor="text1"/>
        </w:rPr>
      </w:pPr>
    </w:p>
    <w:p w:rsidR="00731F31" w:rsidRDefault="00CB18A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Подземни води</w:t>
      </w:r>
    </w:p>
    <w:p w:rsidR="00731F31" w:rsidRDefault="00731F31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:rsidR="00731F31" w:rsidRDefault="00CB18AC">
      <w:pPr>
        <w:spacing w:line="276" w:lineRule="auto"/>
        <w:ind w:left="720" w:hanging="153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</w:rPr>
        <w:tab/>
      </w:r>
      <w:r>
        <w:rPr>
          <w:bCs/>
          <w:i/>
          <w:color w:val="000000" w:themeColor="text1"/>
          <w:u w:val="single"/>
        </w:rPr>
        <w:t>Състояние на подземните водни тела в региона</w:t>
      </w:r>
    </w:p>
    <w:p w:rsidR="00731F31" w:rsidRDefault="00CB18AC">
      <w:pPr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Територията на ПУП-ПРЗ попада в две подземни водни тела (ПВТ):</w:t>
      </w:r>
    </w:p>
    <w:p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013 (Порови води в Кватернер - Горнотракийска низина);</w:t>
      </w:r>
    </w:p>
    <w:p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018 /Порови води в Неоген – Кватернер -Пазарджик -Пловдивския район/;</w:t>
      </w:r>
    </w:p>
    <w:p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Съгласно Доклад за състоянието на водите в ИБР за 2021 г., двете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Cs/>
          <w:color w:val="000000" w:themeColor="text1"/>
        </w:rPr>
        <w:t>В резултат от реализиране на инвестиционни предложения в устройствената зона, след ПУП-ПРЗ, и след преминаване на процедурите по Глава шеста от ЗООС и оценка на въздействията върху подземните води за всяко инвестиционно намерение, не се очаква да бъдат засегнати нито един от критериите за определените за добро количествено и добро химично състояние на подземните водни тела в района.</w:t>
      </w:r>
    </w:p>
    <w:p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i/>
          <w:color w:val="000000" w:themeColor="text1"/>
        </w:rPr>
        <w:t>Прогнозна оценка на въздействието:</w:t>
      </w:r>
    </w:p>
    <w:p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реализирането на ПУП-ПРЗ и последващите дейности не се очаква значително въздействие върху подземните води.</w:t>
      </w:r>
    </w:p>
    <w:p w:rsidR="00731F31" w:rsidRDefault="00731F31">
      <w:pPr>
        <w:spacing w:line="276" w:lineRule="auto"/>
        <w:ind w:firstLine="540"/>
        <w:jc w:val="both"/>
        <w:rPr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От реализирането на ПУП-ПРЗ не се очакват последици върху подземните води.</w:t>
      </w:r>
    </w:p>
    <w:p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  <w:t>Въздействие върху земните недра</w:t>
      </w:r>
    </w:p>
    <w:p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  <w:t>Прогнозен характер на въздействието:</w:t>
      </w:r>
    </w:p>
    <w:p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Реализацията на бъдещите проекти, свързана с промяната на предназначението на земята, може да обхваща и строителни дейности за осъществяването му. При извършване на строителни дейности, ще се наблюдава минимално въздействие върху най-горните слоеве от земните недра, свързано с плитки изкопни работи. </w:t>
      </w:r>
    </w:p>
    <w:p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вероятност – за минимално пряко отрицателно въздействие. Възможно е увеличаване на урбанизираната територия, което ще доведе до загуба на естествен терен;</w:t>
      </w:r>
    </w:p>
    <w:p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продължителност – дълготрайна;</w:t>
      </w:r>
    </w:p>
    <w:p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с честота – постоянна; </w:t>
      </w:r>
    </w:p>
    <w:p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обратимост – възможна, при промяна на плана и обособяване на терена за друго предназначение.</w:t>
      </w:r>
    </w:p>
    <w:p w:rsidR="00731F31" w:rsidRDefault="00731F31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Трайно минимално намаляване за района на количество на почвите, обичайно при строителни дейности.</w:t>
      </w:r>
    </w:p>
    <w:p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ландшафта</w:t>
      </w:r>
    </w:p>
    <w:p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Разглежданата промяна ще обхване площта на описаните в Табл. 1. имоти. Очаква се да има застрояване в част от имотите и запазване и/или подобряване на ландшафта в останалата част. </w:t>
      </w:r>
    </w:p>
    <w:p w:rsidR="00731F31" w:rsidRDefault="00731F31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:rsidR="00731F31" w:rsidRDefault="00CB18AC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Пряко, първично, кумулативно с други подобни обекти, краткотрайно (по отношение на строителните работи), постоянно (до премахването на елементите), отрицателно, незначително, локално за района и без комплексност засягане.</w:t>
      </w:r>
    </w:p>
    <w:p w:rsidR="00731F31" w:rsidRDefault="00731F31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от реализирането на промяната се очаква неголямо увеличаване на площта на антропогенно-техногенния ландшафт за сметка на аграрния в района. </w:t>
      </w:r>
    </w:p>
    <w:p w:rsidR="00731F31" w:rsidRDefault="00731F31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биоразнообразието</w:t>
      </w:r>
    </w:p>
    <w:p w:rsidR="00731F31" w:rsidRDefault="00731F31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 резултат от бъдещи строителни дейности се очаква засягане на биоразнообразието върху антропогенно повлияни терени, заети от агроценози и частично плевелна растителност, характеризиращи се с небогат на таксони растителен и животински свят.</w:t>
      </w:r>
    </w:p>
    <w:p w:rsidR="00731F31" w:rsidRDefault="00CB18AC">
      <w:pPr>
        <w:pStyle w:val="af5"/>
        <w:spacing w:line="276" w:lineRule="auto"/>
        <w:ind w:left="0" w:right="15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изкопните и разчистващи терена дейности се предполага засягане на представители на почвената и наземната бавноподвижна безгръбначна фауна.</w:t>
      </w:r>
    </w:p>
    <w:p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строителните дейности се очаква временно шумово замърсяване на околните на разглежданата територия райони.</w:t>
      </w:r>
    </w:p>
    <w:p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премахването на местообитанията (агроценози с частично плевелна растителност) се очаква пряко, първично, кумулативно с други подобни обекти, краткотрайно (само по време на строителните работи), постоянно, отрицателно, незначително, локално за района и без комплексност засягане върху растителността. За обитаващите и използващите ги в различни етапи от жизнения си цикъл животни се очаква то да бъде непряко, първично, кумулативно с други подобни обекти, краткотрайно, постоянно, отрицателно, незначително, локално за района и с комплексност за някои от видовете (шумово замърсяване).</w:t>
      </w:r>
    </w:p>
    <w:p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ab/>
        <w:t>При засягане на представители на почвената и наземната бавноподвижна безгръбначна фауна се очаква пряко, първично, кумулативно за района от други подобни дейности, краткотрайно (само по време на строителните работи), временно, отрицателно, незначително и локално за района и без комплексност въздействие.</w:t>
      </w:r>
    </w:p>
    <w:p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шумовото замърсяване се очаква непряко, първично, кумулативно за района от други подобни дейности, краткотрайно (основно по време на строителните работи), временно, отрицателно, незначително, локално за района и с комплексност (премахване на местообитания).</w:t>
      </w:r>
    </w:p>
    <w:p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района. Предполага се отдръпването на повечето от обитаващите я представители на животински видове към околните терени. </w:t>
      </w:r>
    </w:p>
    <w:p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Вследствие на засягането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им, което ще се компенсира от бързия им размножителен цикъл на представителите им в съседните места.</w:t>
      </w:r>
    </w:p>
    <w:p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по-тихи райони. По време на експлоатацията, човешкото въздействие се очаква да е значително по-слабо, при което се предполага до голяма степен нормализиране на поведението им.</w:t>
      </w:r>
    </w:p>
    <w:p w:rsidR="00731F31" w:rsidRDefault="00CB18AC">
      <w:pPr>
        <w:pStyle w:val="af5"/>
        <w:spacing w:after="0"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Не се очакват значителни последици върху консервационно значими таксони.</w:t>
      </w:r>
    </w:p>
    <w:p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:rsidR="00731F31" w:rsidRDefault="00CB18AC">
      <w:pPr>
        <w:pStyle w:val="af5"/>
        <w:spacing w:after="0"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  <w:t>Въздействие върху културното наследство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района на с. Радиново е разположена паметна плоча, открита през 1981 г. в чест на 1300 години от основаването на България, която няма да бъде засегната от реализацията на настоящото инвестиционно намерение. При евентуално откриване на културно-исторически, археологически и архитектурни ценности, в процеса на осъществяване на промяната в ОУП и/или при реализация на бъдещи проекти, ще бъдат уведомени Община Марица, Регионалния археологически музей – гр. Пловдив, съгласно чл. 72 от Закона за културното наследство.</w:t>
      </w:r>
    </w:p>
    <w:p w:rsidR="00731F31" w:rsidRDefault="00CB18AC">
      <w:pPr>
        <w:pStyle w:val="af5"/>
        <w:spacing w:line="276" w:lineRule="auto"/>
        <w:ind w:left="0" w:right="15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</w:p>
    <w:p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Въздействие върху елементите от Националната екологична мрежа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 намираща се на около 3 км в южна посока, а по Закона за биологичното разнообразие (ЗБР):</w:t>
      </w:r>
    </w:p>
    <w:p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защитена зона (ЗЗ) по Директивата за опазване на птиците BG0002087 „Марица – Пловдив“, разположена на около 3,2 км южно;</w:t>
      </w:r>
    </w:p>
    <w:p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:rsidR="00731F31" w:rsidRDefault="00731F31">
      <w:pPr>
        <w:pStyle w:val="af5"/>
        <w:spacing w:after="0" w:line="276" w:lineRule="auto"/>
        <w:ind w:left="0" w:right="15" w:firstLine="567"/>
        <w:jc w:val="both"/>
        <w:rPr>
          <w:bCs/>
          <w:color w:val="000000" w:themeColor="text1"/>
          <w:lang w:val="bg-BG"/>
        </w:rPr>
      </w:pPr>
    </w:p>
    <w:p w:rsidR="00731F31" w:rsidRDefault="00CB18AC">
      <w:pPr>
        <w:spacing w:line="276" w:lineRule="auto"/>
        <w:ind w:firstLine="540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на образуваните отпадъци</w:t>
      </w:r>
    </w:p>
    <w:p w:rsidR="00731F31" w:rsidRDefault="00731F31">
      <w:pPr>
        <w:spacing w:line="276" w:lineRule="auto"/>
        <w:ind w:firstLine="540"/>
        <w:jc w:val="both"/>
        <w:rPr>
          <w:b/>
          <w:color w:val="000000" w:themeColor="text1"/>
        </w:rPr>
      </w:pPr>
    </w:p>
    <w:p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Отпадъците, които се очаква да се генерират при осъществяване на дейностите на бъдещи обекти, са предимно смесени строителни отпадъци и смесени битови отпадъци.</w:t>
      </w:r>
    </w:p>
    <w:p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</w:rPr>
        <w:t>Строителните отпадъци приоритетно трябва да предават за оползотворяване, а при невъзможност - за обезвреждане. Смесените битови отпадъци трябва да бъдат обхванати от общинската система за сметосъбиране и сметоизвозване.</w:t>
      </w:r>
    </w:p>
    <w:p w:rsidR="00731F31" w:rsidRDefault="00731F31">
      <w:pPr>
        <w:spacing w:line="276" w:lineRule="auto"/>
        <w:ind w:firstLine="360"/>
        <w:jc w:val="both"/>
        <w:rPr>
          <w:b/>
          <w:bCs/>
          <w:iCs/>
          <w:color w:val="000000" w:themeColor="text1"/>
        </w:rPr>
      </w:pPr>
    </w:p>
    <w:p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Продължителността на въздействие на отпадъците върху компонентите на околната среда се очаква да бъде най-силно изразено на етапа на строителните дейности. </w:t>
      </w:r>
    </w:p>
    <w:p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ще е обратимо, и с продължителност и при реализацията, и при експлоатацията на обектите. </w:t>
      </w:r>
    </w:p>
    <w:p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стриктно спазване на предвидените мерки за събиране, съхранение, транспортиране и третиране, като цяло не се очаква кумулативно въздействие. </w:t>
      </w:r>
    </w:p>
    <w:p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Честотата на въздействие се очаква да е постоянна.</w:t>
      </w:r>
    </w:p>
    <w:p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изменение на ОУП, не се очакват значителни въздействия на отпадъците върху повърхностни води, подземни води и земни недра, върху останалите компоненти и фактори на околната среда.</w:t>
      </w:r>
    </w:p>
    <w:p w:rsidR="00731F31" w:rsidRDefault="00731F31">
      <w:pPr>
        <w:tabs>
          <w:tab w:val="left" w:pos="1418"/>
        </w:tabs>
        <w:spacing w:line="276" w:lineRule="auto"/>
        <w:ind w:right="15" w:firstLine="567"/>
        <w:jc w:val="both"/>
        <w:rPr>
          <w:color w:val="000000" w:themeColor="text1"/>
        </w:rPr>
      </w:pPr>
    </w:p>
    <w:p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спазване на нормативната уредба и правилното управление на образуваните отпадъци, не се очакват последици върху територията, предвидена за изменение на ОУП.</w:t>
      </w:r>
    </w:p>
    <w:p w:rsidR="00731F31" w:rsidRDefault="00CB18AC">
      <w:pPr>
        <w:tabs>
          <w:tab w:val="left" w:pos="1418"/>
        </w:tabs>
        <w:spacing w:line="276" w:lineRule="auto"/>
        <w:ind w:right="15" w:firstLine="720"/>
        <w:jc w:val="both"/>
        <w:rPr>
          <w:color w:val="000000" w:themeColor="text1"/>
        </w:rPr>
      </w:pPr>
      <w:r>
        <w:rPr>
          <w:color w:val="000000" w:themeColor="text1"/>
        </w:rPr>
        <w:t>С изключение на земните маси, образувани по време на изкопните работи, останалите отпадъци ще ангажират съответните за тях лицензирани фирми, включително извършването на събирането и извозването им до съответните депа, с параметри ненадвишаващи приетата практика за такъв род дейности.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кумулативните въздействия:</w:t>
      </w:r>
    </w:p>
    <w:p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Очаква се увеличаване на антропогенното влияние върху земеделските земи, които ще станат урбанизирани територии.</w:t>
      </w:r>
      <w:r>
        <w:rPr>
          <w:color w:val="000000" w:themeColor="text1"/>
        </w:rPr>
        <w:tab/>
      </w: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трансграничното въздействие:</w:t>
      </w:r>
    </w:p>
    <w:p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Разглежданите имоти се намират далеч от границите на страната и не се очаква  реализацията на бъдещите проекти да предизвика трансгранично въздействие.</w:t>
      </w:r>
    </w:p>
    <w:p w:rsidR="00731F31" w:rsidRDefault="00CB18AC">
      <w:pPr>
        <w:pStyle w:val="af2"/>
        <w:spacing w:line="276" w:lineRule="auto"/>
        <w:jc w:val="both"/>
      </w:pPr>
      <w:r>
        <w:lastRenderedPageBreak/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Обектите в засегнатите имоти могат да бъдат изложени на риск при настъпване на природни бедствия. С най-голяма вероятност са възникването на пожар от падане на мълнии, наводнение или земетресение.</w:t>
      </w:r>
    </w:p>
    <w:p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Гръмотевичните бури създават опасност от възникване на пожари, причинени от падането на мълнии, както върху дървета, така и върху стълбове, постройки, храсти и др. </w:t>
      </w:r>
    </w:p>
    <w:p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Районите със значителен потенциален риск от наводнения (РЗПРН) и районите с вероятност от значителен потенциален риск от наводнения, съгласно чл. 146 г от Закона за водите са определени на база предварителна оценка от БДУВР „Източнобеломорски район“. Класифицирането им като такива райони е извършено на база обстоен анализ и създаване на гео-база данни с информация за значимите минали и потенциални бъдещи наводнения, съгласно План за управление на риска от наводнения (ПУРН) за Източнобеломорски район и в частност за област Пловдив. </w:t>
      </w:r>
    </w:p>
    <w:p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Землището на с. Равадиново, включително територията на ПУП-ПРЗ, попадат  в РЗПРН с код  BG3_APSFR_MA_10 - р. Потока – Съединение с висок потенциален риск от наводнения.</w:t>
      </w:r>
    </w:p>
    <w:p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Уязвимостта на обектите, които ще се реализират след ПУП-ПРЗ, от риск от бедствия и произтичащите от това последици за околната среда могат да бъдат оценени като незначителни и малко вероятни, при условие на изпълнение на мерките, заложени в ПУРН и противопожарните мерки, както по време на строителството, така и при експлоатацията на бъдещите обекти.</w:t>
      </w:r>
    </w:p>
    <w:p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 xml:space="preserve">д) очакваните неблагоприятни въздействия, произтичащи от увеличаване на опасностите и последствията от възникване на голяма авария от </w:t>
      </w:r>
      <w:r>
        <w:rPr>
          <w:color w:val="000000"/>
        </w:rPr>
        <w:t>съществуващи или нови предприятия/съоръжения с нисък или висок рисков потенциал, съгласувани по реда на </w:t>
      </w:r>
      <w:r>
        <w:rPr>
          <w:rStyle w:val="newdocreference"/>
          <w:color w:val="000000"/>
        </w:rPr>
        <w:t>ЗООС</w:t>
      </w:r>
      <w:r>
        <w:rPr>
          <w:color w:val="000000"/>
        </w:rPr>
        <w:t>, за случаите по </w:t>
      </w:r>
      <w:r>
        <w:rPr>
          <w:rStyle w:val="newdocreference"/>
          <w:color w:val="000000"/>
        </w:rPr>
        <w:t>чл. 104, ал. 3, т. 3 от ЗООС</w:t>
      </w:r>
      <w:r>
        <w:rPr>
          <w:color w:val="000000"/>
        </w:rPr>
        <w:t>:</w:t>
      </w:r>
    </w:p>
    <w:p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>На територията на община Марица се намират два обекта, които се класифицират със съответно висок и нисък рисков потенциал – „Газоснабдителна (претоварна) станция за пропан-бутан с оператор „Ви-Газ България” ЕАД и „Либхер-Хаусгерете Марица” ЕООД – завод за хладилници. Поради отдалечеността на гореупоменатите от територията, обхваната с ПУП-ПРЗ, не се очаква засягане на бъдещите обекти, които ще се реализират, при възникване на авария с опасни вещества.</w:t>
      </w:r>
    </w:p>
    <w:p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>Инвестиционните предложения, които ще се реализират след промяната на ПУП, ще подлежат на самостоятелна оценка относно потенциала си за предизвикване на голяма авария с опасни вещества (условия за чиято оценка ще бъде наличието на химични вещества и смеси, част от Приложение №3 на ЗООС)</w:t>
      </w:r>
    </w:p>
    <w:p w:rsidR="00731F31" w:rsidRDefault="00731F31">
      <w:pPr>
        <w:pStyle w:val="af2"/>
        <w:spacing w:before="0" w:beforeAutospacing="0" w:after="0" w:afterAutospacing="0"/>
        <w:jc w:val="both"/>
        <w:rPr>
          <w:color w:val="FF0000"/>
        </w:rPr>
      </w:pPr>
    </w:p>
    <w:p w:rsidR="00731F31" w:rsidRDefault="00CB18AC">
      <w:pPr>
        <w:pStyle w:val="af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</w:pPr>
      <w:r>
        <w:tab/>
      </w:r>
    </w:p>
    <w:p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Териториалният обхват на разглежданият План включва описаните в Табл. 1 имоти в землището на с. Радиново, общ. Марица, обл. Пловдив. Не се очаква териториално засягане на населението в района. 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Естествените характеристики на упоменатите имоти не са особени и уникални за района. Към настоящия момент не са установени обекти с културно-историческа и/или археологическа стойност. При евентуално откриване на такива, в процеса на осъществяване на предвидените след промяната на предназначението на земята дейности, ще бъдат изпълнени всички необходими действия съгласно изискванията на чл. 72 от Закона за културното наследство.</w:t>
      </w:r>
    </w:p>
    <w:p w:rsidR="00731F31" w:rsidRDefault="00731F3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  <w:t>Не се очаква въздействие върху райони или ландшафти, които имат признат национален, общностен или международен статут на защита. Предвидената промяна не се намира в близост до обекти от НЕМ.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и) въздействието на плана или програмата върху климата и уязвимостта на плана или програмата спрямо изменението на климата: </w:t>
      </w:r>
    </w:p>
    <w:p w:rsidR="00B91FC4" w:rsidRDefault="00B91FC4">
      <w:pPr>
        <w:spacing w:line="276" w:lineRule="auto"/>
        <w:ind w:firstLine="540"/>
        <w:jc w:val="both"/>
        <w:rPr>
          <w:color w:val="000000" w:themeColor="text1"/>
        </w:rPr>
      </w:pPr>
    </w:p>
    <w:p w:rsidR="00B91FC4" w:rsidRDefault="00B91FC4">
      <w:pPr>
        <w:spacing w:line="276" w:lineRule="auto"/>
        <w:ind w:firstLine="540"/>
        <w:jc w:val="both"/>
        <w:rPr>
          <w:color w:val="000000" w:themeColor="text1"/>
        </w:rPr>
      </w:pPr>
    </w:p>
    <w:p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Не се очаква уязвимост на плана спрямо изменението на климата. Създаването на условия за изграждане на „Въглеродно неутрален индустриален парк Марица“ е стратегически проект за бъдещо „зелено” развитие на индустриалната зона с изцяло положително въздействие от реализирането на ПУП-ПРЗ върху климата.</w:t>
      </w: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5. Карта или друг актуален графичен материал на засегнатата територия и на съседните и територии, таблици, схеми, снимки и други - по преценка на възложителя, приложения: </w:t>
      </w:r>
    </w:p>
    <w:p w:rsidR="00731F31" w:rsidRDefault="00731F31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:rsidR="006079A2" w:rsidRDefault="006079A2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noProof/>
          <w:color w:val="000000" w:themeColor="text1"/>
        </w:rPr>
        <w:drawing>
          <wp:inline distT="0" distB="0" distL="0" distR="0" wp14:anchorId="265470D1" wp14:editId="1078B75A">
            <wp:extent cx="5760720" cy="4282322"/>
            <wp:effectExtent l="0" t="0" r="0" b="0"/>
            <wp:docPr id="6" name="Picture 1" descr="D:\Users\marti\Desktop\Screenshot 2023-01-27 140759.pngScreenshot 2023-01-27 14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Users\marti\Desktop\Screenshot 2023-01-27 140759.pngScreenshot 2023-01-27 14075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9A2" w:rsidRDefault="006079A2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CB18AC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760720" cy="4554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CB18AC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Териториалните нормативни правила и изисквания за прилагането на плана се уреждат с чл. 108, ал. 1 от Закона за устройство на територията (ЗУТ).</w:t>
      </w:r>
    </w:p>
    <w:p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Съгласно чл. 28, ал.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– Пловдив.</w:t>
      </w:r>
    </w:p>
    <w:p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При реализация на дейностите, предвидени с ПУП-ПРЗ ще бъдат спазени всички законови изисквания с цел свеждане до минимум вероятните  негативни въздействия върху компонентите на околната среда. </w:t>
      </w: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7. Информация за платена такса и датата на заплащане.</w:t>
      </w:r>
    </w:p>
    <w:p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Б. Електронен носител - 1 бр. .............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издадено в електронна форма и изпратено на посочения адрес на електронна поща.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получено чрез лицензиран пощенски оператор.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Дата: </w:t>
      </w:r>
      <w:r w:rsidR="00B91FC4">
        <w:rPr>
          <w:color w:val="000000" w:themeColor="text1"/>
        </w:rPr>
        <w:t>27.01.2023г.</w:t>
      </w:r>
      <w:r>
        <w:rPr>
          <w:color w:val="000000" w:themeColor="text1"/>
        </w:rPr>
        <w:t>                                  Възложител</w:t>
      </w:r>
      <w:r w:rsidR="00B91FC4">
        <w:rPr>
          <w:color w:val="000000" w:themeColor="text1"/>
        </w:rPr>
        <w:t>и</w:t>
      </w:r>
      <w:r>
        <w:rPr>
          <w:color w:val="000000" w:themeColor="text1"/>
        </w:rPr>
        <w:t>: …………………………</w:t>
      </w:r>
    </w:p>
    <w:p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i/>
          <w:iCs/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      (подпис)</w:t>
      </w:r>
    </w:p>
    <w:p w:rsidR="00731F31" w:rsidRDefault="00CB18AC">
      <w:pPr>
        <w:pStyle w:val="af2"/>
        <w:spacing w:line="276" w:lineRule="auto"/>
        <w:rPr>
          <w:color w:val="000000" w:themeColor="text1"/>
        </w:rPr>
      </w:pPr>
      <w:r>
        <w:rPr>
          <w:color w:val="000000" w:themeColor="text1"/>
        </w:rPr>
        <w:t> </w:t>
      </w:r>
    </w:p>
    <w:p w:rsidR="00731F31" w:rsidRDefault="00731F31">
      <w:pPr>
        <w:spacing w:line="276" w:lineRule="auto"/>
        <w:rPr>
          <w:color w:val="000000" w:themeColor="text1"/>
        </w:rPr>
      </w:pPr>
    </w:p>
    <w:sectPr w:rsidR="00731F31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D1" w:rsidRDefault="000D63D1">
      <w:r>
        <w:separator/>
      </w:r>
    </w:p>
  </w:endnote>
  <w:endnote w:type="continuationSeparator" w:id="0">
    <w:p w:rsidR="000D63D1" w:rsidRDefault="000D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31" w:rsidRDefault="00CB18A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DC2">
      <w:rPr>
        <w:noProof/>
      </w:rPr>
      <w:t>22</w:t>
    </w:r>
    <w:r>
      <w:fldChar w:fldCharType="end"/>
    </w:r>
  </w:p>
  <w:p w:rsidR="00731F31" w:rsidRDefault="00731F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D1" w:rsidRDefault="000D63D1">
      <w:r>
        <w:separator/>
      </w:r>
    </w:p>
  </w:footnote>
  <w:footnote w:type="continuationSeparator" w:id="0">
    <w:p w:rsidR="000D63D1" w:rsidRDefault="000D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99"/>
    <w:multiLevelType w:val="multilevel"/>
    <w:tmpl w:val="03144D9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6C7"/>
    <w:multiLevelType w:val="multilevel"/>
    <w:tmpl w:val="123B06C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55724"/>
    <w:multiLevelType w:val="multilevel"/>
    <w:tmpl w:val="1D1557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076"/>
    <w:multiLevelType w:val="multilevel"/>
    <w:tmpl w:val="2DFA1076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6849"/>
    <w:multiLevelType w:val="multilevel"/>
    <w:tmpl w:val="57E6684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44"/>
    <w:rsid w:val="00000E72"/>
    <w:rsid w:val="0000435F"/>
    <w:rsid w:val="00004AED"/>
    <w:rsid w:val="00006900"/>
    <w:rsid w:val="00012BBF"/>
    <w:rsid w:val="00014024"/>
    <w:rsid w:val="000205AC"/>
    <w:rsid w:val="00021335"/>
    <w:rsid w:val="00024F42"/>
    <w:rsid w:val="00031058"/>
    <w:rsid w:val="000359DA"/>
    <w:rsid w:val="0004189A"/>
    <w:rsid w:val="00046376"/>
    <w:rsid w:val="00046EA5"/>
    <w:rsid w:val="00050BE8"/>
    <w:rsid w:val="00050C79"/>
    <w:rsid w:val="00051966"/>
    <w:rsid w:val="00051D2F"/>
    <w:rsid w:val="000530E5"/>
    <w:rsid w:val="000546AA"/>
    <w:rsid w:val="00064025"/>
    <w:rsid w:val="00065C55"/>
    <w:rsid w:val="00071D06"/>
    <w:rsid w:val="00073195"/>
    <w:rsid w:val="000735F2"/>
    <w:rsid w:val="00080E2D"/>
    <w:rsid w:val="000818E3"/>
    <w:rsid w:val="00082947"/>
    <w:rsid w:val="00083580"/>
    <w:rsid w:val="000849B1"/>
    <w:rsid w:val="0009248F"/>
    <w:rsid w:val="00092632"/>
    <w:rsid w:val="00096B98"/>
    <w:rsid w:val="000B2AC8"/>
    <w:rsid w:val="000C0752"/>
    <w:rsid w:val="000C288A"/>
    <w:rsid w:val="000C4762"/>
    <w:rsid w:val="000D059B"/>
    <w:rsid w:val="000D360F"/>
    <w:rsid w:val="000D435F"/>
    <w:rsid w:val="000D5405"/>
    <w:rsid w:val="000D63D1"/>
    <w:rsid w:val="000E016C"/>
    <w:rsid w:val="000E2D13"/>
    <w:rsid w:val="000E3AE2"/>
    <w:rsid w:val="000F118F"/>
    <w:rsid w:val="000F1F35"/>
    <w:rsid w:val="000F77F5"/>
    <w:rsid w:val="00100E63"/>
    <w:rsid w:val="0010166F"/>
    <w:rsid w:val="00104156"/>
    <w:rsid w:val="00104286"/>
    <w:rsid w:val="001050EB"/>
    <w:rsid w:val="00106935"/>
    <w:rsid w:val="001071FB"/>
    <w:rsid w:val="00107695"/>
    <w:rsid w:val="0011282C"/>
    <w:rsid w:val="00112DFE"/>
    <w:rsid w:val="001131F7"/>
    <w:rsid w:val="00114ACA"/>
    <w:rsid w:val="00115741"/>
    <w:rsid w:val="00115812"/>
    <w:rsid w:val="00115EE2"/>
    <w:rsid w:val="00116374"/>
    <w:rsid w:val="00116456"/>
    <w:rsid w:val="0012012B"/>
    <w:rsid w:val="00122C4D"/>
    <w:rsid w:val="00123AB3"/>
    <w:rsid w:val="00123F7D"/>
    <w:rsid w:val="0012421E"/>
    <w:rsid w:val="00125BB6"/>
    <w:rsid w:val="00134AA5"/>
    <w:rsid w:val="00134B65"/>
    <w:rsid w:val="00136DC7"/>
    <w:rsid w:val="0014032E"/>
    <w:rsid w:val="0014109C"/>
    <w:rsid w:val="00143B62"/>
    <w:rsid w:val="00145746"/>
    <w:rsid w:val="001467BD"/>
    <w:rsid w:val="00151748"/>
    <w:rsid w:val="00153179"/>
    <w:rsid w:val="00153704"/>
    <w:rsid w:val="00156588"/>
    <w:rsid w:val="001605CA"/>
    <w:rsid w:val="001607E8"/>
    <w:rsid w:val="00162A5E"/>
    <w:rsid w:val="00165266"/>
    <w:rsid w:val="00170249"/>
    <w:rsid w:val="00170F0C"/>
    <w:rsid w:val="0017456F"/>
    <w:rsid w:val="00176C39"/>
    <w:rsid w:val="00180B26"/>
    <w:rsid w:val="00182C42"/>
    <w:rsid w:val="00186290"/>
    <w:rsid w:val="001949D3"/>
    <w:rsid w:val="001A128D"/>
    <w:rsid w:val="001A3446"/>
    <w:rsid w:val="001A3B07"/>
    <w:rsid w:val="001A3D04"/>
    <w:rsid w:val="001A4F59"/>
    <w:rsid w:val="001A5FD3"/>
    <w:rsid w:val="001A7873"/>
    <w:rsid w:val="001A7C2E"/>
    <w:rsid w:val="001B2A1D"/>
    <w:rsid w:val="001C2764"/>
    <w:rsid w:val="001C74C9"/>
    <w:rsid w:val="001D0B98"/>
    <w:rsid w:val="001D182B"/>
    <w:rsid w:val="001D5B92"/>
    <w:rsid w:val="001D5B96"/>
    <w:rsid w:val="001D62B4"/>
    <w:rsid w:val="001D7346"/>
    <w:rsid w:val="001E10F8"/>
    <w:rsid w:val="001E7002"/>
    <w:rsid w:val="001E719B"/>
    <w:rsid w:val="001F29E3"/>
    <w:rsid w:val="001F3BB0"/>
    <w:rsid w:val="001F4362"/>
    <w:rsid w:val="001F4B9B"/>
    <w:rsid w:val="001F637E"/>
    <w:rsid w:val="001F6BDA"/>
    <w:rsid w:val="00201188"/>
    <w:rsid w:val="00201725"/>
    <w:rsid w:val="00205DB2"/>
    <w:rsid w:val="00210E6E"/>
    <w:rsid w:val="00211B19"/>
    <w:rsid w:val="002157F2"/>
    <w:rsid w:val="002165FC"/>
    <w:rsid w:val="0021757B"/>
    <w:rsid w:val="00223A9D"/>
    <w:rsid w:val="002268EE"/>
    <w:rsid w:val="002273D1"/>
    <w:rsid w:val="00237E27"/>
    <w:rsid w:val="00245749"/>
    <w:rsid w:val="00245E60"/>
    <w:rsid w:val="00251EF0"/>
    <w:rsid w:val="00252586"/>
    <w:rsid w:val="00252CCE"/>
    <w:rsid w:val="002530AD"/>
    <w:rsid w:val="00254543"/>
    <w:rsid w:val="0025529C"/>
    <w:rsid w:val="0027085C"/>
    <w:rsid w:val="002745AE"/>
    <w:rsid w:val="0027664E"/>
    <w:rsid w:val="00280C97"/>
    <w:rsid w:val="00281BD6"/>
    <w:rsid w:val="00282E44"/>
    <w:rsid w:val="0028415F"/>
    <w:rsid w:val="00285EDC"/>
    <w:rsid w:val="002907DB"/>
    <w:rsid w:val="00290ACD"/>
    <w:rsid w:val="00294C18"/>
    <w:rsid w:val="00296A07"/>
    <w:rsid w:val="002A1093"/>
    <w:rsid w:val="002A2838"/>
    <w:rsid w:val="002A32C0"/>
    <w:rsid w:val="002B1F2A"/>
    <w:rsid w:val="002C05B9"/>
    <w:rsid w:val="002C0D8B"/>
    <w:rsid w:val="002C3AC4"/>
    <w:rsid w:val="002C3DB5"/>
    <w:rsid w:val="002D3A44"/>
    <w:rsid w:val="002D6C03"/>
    <w:rsid w:val="002E0BAF"/>
    <w:rsid w:val="002E0C15"/>
    <w:rsid w:val="002E24CD"/>
    <w:rsid w:val="002E29F1"/>
    <w:rsid w:val="002E763D"/>
    <w:rsid w:val="002E78CA"/>
    <w:rsid w:val="002F4DA1"/>
    <w:rsid w:val="0030117E"/>
    <w:rsid w:val="0030184A"/>
    <w:rsid w:val="00304B3F"/>
    <w:rsid w:val="00305C83"/>
    <w:rsid w:val="00310C3B"/>
    <w:rsid w:val="00312270"/>
    <w:rsid w:val="00315F14"/>
    <w:rsid w:val="00322485"/>
    <w:rsid w:val="00326AC4"/>
    <w:rsid w:val="003316B4"/>
    <w:rsid w:val="00331B0A"/>
    <w:rsid w:val="00332FB2"/>
    <w:rsid w:val="003341A2"/>
    <w:rsid w:val="0034092C"/>
    <w:rsid w:val="00341D23"/>
    <w:rsid w:val="0034297C"/>
    <w:rsid w:val="003434B5"/>
    <w:rsid w:val="00344807"/>
    <w:rsid w:val="00347A1A"/>
    <w:rsid w:val="003515D1"/>
    <w:rsid w:val="00356E46"/>
    <w:rsid w:val="003610C9"/>
    <w:rsid w:val="0036178A"/>
    <w:rsid w:val="003713B1"/>
    <w:rsid w:val="003713DB"/>
    <w:rsid w:val="0037351F"/>
    <w:rsid w:val="00373813"/>
    <w:rsid w:val="00374AB2"/>
    <w:rsid w:val="00374CE1"/>
    <w:rsid w:val="00380823"/>
    <w:rsid w:val="00383F3D"/>
    <w:rsid w:val="003844A6"/>
    <w:rsid w:val="003846E9"/>
    <w:rsid w:val="003857BB"/>
    <w:rsid w:val="00386667"/>
    <w:rsid w:val="003877F3"/>
    <w:rsid w:val="00391681"/>
    <w:rsid w:val="00392829"/>
    <w:rsid w:val="00395B15"/>
    <w:rsid w:val="0039613F"/>
    <w:rsid w:val="003A1C28"/>
    <w:rsid w:val="003A3446"/>
    <w:rsid w:val="003A4AB3"/>
    <w:rsid w:val="003A5BB1"/>
    <w:rsid w:val="003A71B5"/>
    <w:rsid w:val="003A7F1C"/>
    <w:rsid w:val="003B0C86"/>
    <w:rsid w:val="003B3E58"/>
    <w:rsid w:val="003B5E22"/>
    <w:rsid w:val="003B6941"/>
    <w:rsid w:val="003C08AF"/>
    <w:rsid w:val="003C2165"/>
    <w:rsid w:val="003C68AE"/>
    <w:rsid w:val="003D144C"/>
    <w:rsid w:val="003E2ABA"/>
    <w:rsid w:val="003E7DFD"/>
    <w:rsid w:val="003F227B"/>
    <w:rsid w:val="003F39FD"/>
    <w:rsid w:val="003F7713"/>
    <w:rsid w:val="0040004E"/>
    <w:rsid w:val="004109A0"/>
    <w:rsid w:val="004204E6"/>
    <w:rsid w:val="00423398"/>
    <w:rsid w:val="00424787"/>
    <w:rsid w:val="00426861"/>
    <w:rsid w:val="004279BB"/>
    <w:rsid w:val="004317FF"/>
    <w:rsid w:val="00437496"/>
    <w:rsid w:val="00443341"/>
    <w:rsid w:val="00444E13"/>
    <w:rsid w:val="00450B31"/>
    <w:rsid w:val="004528BB"/>
    <w:rsid w:val="00453FC7"/>
    <w:rsid w:val="004633ED"/>
    <w:rsid w:val="00464489"/>
    <w:rsid w:val="0046477C"/>
    <w:rsid w:val="00467B85"/>
    <w:rsid w:val="00473787"/>
    <w:rsid w:val="00473875"/>
    <w:rsid w:val="00475AA3"/>
    <w:rsid w:val="00476627"/>
    <w:rsid w:val="004878C1"/>
    <w:rsid w:val="004919D4"/>
    <w:rsid w:val="00495384"/>
    <w:rsid w:val="00496702"/>
    <w:rsid w:val="00496AD0"/>
    <w:rsid w:val="004A3EAF"/>
    <w:rsid w:val="004A587E"/>
    <w:rsid w:val="004B039F"/>
    <w:rsid w:val="004B42F3"/>
    <w:rsid w:val="004B48ED"/>
    <w:rsid w:val="004C1151"/>
    <w:rsid w:val="004C19EC"/>
    <w:rsid w:val="004C2BD1"/>
    <w:rsid w:val="004C60EF"/>
    <w:rsid w:val="004C72DE"/>
    <w:rsid w:val="004D16ED"/>
    <w:rsid w:val="004D215D"/>
    <w:rsid w:val="004D21D6"/>
    <w:rsid w:val="004D280A"/>
    <w:rsid w:val="004D4381"/>
    <w:rsid w:val="004E1067"/>
    <w:rsid w:val="004E1871"/>
    <w:rsid w:val="004E1D9B"/>
    <w:rsid w:val="004E2861"/>
    <w:rsid w:val="004E2B0C"/>
    <w:rsid w:val="004E2EA8"/>
    <w:rsid w:val="004E624A"/>
    <w:rsid w:val="004F5781"/>
    <w:rsid w:val="004F7FE8"/>
    <w:rsid w:val="005003E5"/>
    <w:rsid w:val="00502041"/>
    <w:rsid w:val="00510E4C"/>
    <w:rsid w:val="005115DD"/>
    <w:rsid w:val="005117C0"/>
    <w:rsid w:val="00511BAC"/>
    <w:rsid w:val="00513AFB"/>
    <w:rsid w:val="0052245B"/>
    <w:rsid w:val="0052500C"/>
    <w:rsid w:val="00525634"/>
    <w:rsid w:val="0053075A"/>
    <w:rsid w:val="00536531"/>
    <w:rsid w:val="00541B96"/>
    <w:rsid w:val="005442DB"/>
    <w:rsid w:val="0054456D"/>
    <w:rsid w:val="0054621A"/>
    <w:rsid w:val="00546D86"/>
    <w:rsid w:val="005472F8"/>
    <w:rsid w:val="00547FC2"/>
    <w:rsid w:val="005514CF"/>
    <w:rsid w:val="0055353F"/>
    <w:rsid w:val="00554929"/>
    <w:rsid w:val="00555A61"/>
    <w:rsid w:val="00560BE0"/>
    <w:rsid w:val="00560F46"/>
    <w:rsid w:val="005613CC"/>
    <w:rsid w:val="00564E96"/>
    <w:rsid w:val="00573E8E"/>
    <w:rsid w:val="005761B2"/>
    <w:rsid w:val="005765F8"/>
    <w:rsid w:val="00577A37"/>
    <w:rsid w:val="00582D97"/>
    <w:rsid w:val="00583176"/>
    <w:rsid w:val="0058479E"/>
    <w:rsid w:val="00585015"/>
    <w:rsid w:val="00585D09"/>
    <w:rsid w:val="005866C5"/>
    <w:rsid w:val="005907A4"/>
    <w:rsid w:val="00591CC4"/>
    <w:rsid w:val="00592AB1"/>
    <w:rsid w:val="00592F72"/>
    <w:rsid w:val="0059315C"/>
    <w:rsid w:val="00597750"/>
    <w:rsid w:val="005A0E06"/>
    <w:rsid w:val="005A25A9"/>
    <w:rsid w:val="005A29CD"/>
    <w:rsid w:val="005A576F"/>
    <w:rsid w:val="005A5FC8"/>
    <w:rsid w:val="005A6EFC"/>
    <w:rsid w:val="005B2BE8"/>
    <w:rsid w:val="005B41E7"/>
    <w:rsid w:val="005B4232"/>
    <w:rsid w:val="005B6A0B"/>
    <w:rsid w:val="005B7C8B"/>
    <w:rsid w:val="005C4B93"/>
    <w:rsid w:val="005D1540"/>
    <w:rsid w:val="005D2F03"/>
    <w:rsid w:val="005D361A"/>
    <w:rsid w:val="005D4658"/>
    <w:rsid w:val="005D4797"/>
    <w:rsid w:val="005D5E3D"/>
    <w:rsid w:val="005E0FB0"/>
    <w:rsid w:val="005E1852"/>
    <w:rsid w:val="005E6537"/>
    <w:rsid w:val="005E7066"/>
    <w:rsid w:val="005F01C0"/>
    <w:rsid w:val="005F7005"/>
    <w:rsid w:val="005F7BD1"/>
    <w:rsid w:val="00601C4A"/>
    <w:rsid w:val="006079A2"/>
    <w:rsid w:val="00610506"/>
    <w:rsid w:val="00610DA2"/>
    <w:rsid w:val="00613F2B"/>
    <w:rsid w:val="00620448"/>
    <w:rsid w:val="00620803"/>
    <w:rsid w:val="00622403"/>
    <w:rsid w:val="00625222"/>
    <w:rsid w:val="0062535D"/>
    <w:rsid w:val="00627D3B"/>
    <w:rsid w:val="00632457"/>
    <w:rsid w:val="00635E9B"/>
    <w:rsid w:val="00636296"/>
    <w:rsid w:val="0064020C"/>
    <w:rsid w:val="006409A3"/>
    <w:rsid w:val="00651421"/>
    <w:rsid w:val="00653596"/>
    <w:rsid w:val="00656E23"/>
    <w:rsid w:val="00664729"/>
    <w:rsid w:val="00671C92"/>
    <w:rsid w:val="0067223E"/>
    <w:rsid w:val="00677164"/>
    <w:rsid w:val="006776F0"/>
    <w:rsid w:val="00680871"/>
    <w:rsid w:val="0068285E"/>
    <w:rsid w:val="0068310D"/>
    <w:rsid w:val="00684357"/>
    <w:rsid w:val="0068526F"/>
    <w:rsid w:val="00686EC9"/>
    <w:rsid w:val="00690C8E"/>
    <w:rsid w:val="0069315B"/>
    <w:rsid w:val="006938C9"/>
    <w:rsid w:val="00694020"/>
    <w:rsid w:val="00697411"/>
    <w:rsid w:val="006A194A"/>
    <w:rsid w:val="006A23C4"/>
    <w:rsid w:val="006A423C"/>
    <w:rsid w:val="006A7EC4"/>
    <w:rsid w:val="006B20ED"/>
    <w:rsid w:val="006B6D94"/>
    <w:rsid w:val="006C11D3"/>
    <w:rsid w:val="006C1E47"/>
    <w:rsid w:val="006C3C2C"/>
    <w:rsid w:val="006C4F79"/>
    <w:rsid w:val="006C50A9"/>
    <w:rsid w:val="006C5F97"/>
    <w:rsid w:val="006D0E27"/>
    <w:rsid w:val="006D199E"/>
    <w:rsid w:val="006D2535"/>
    <w:rsid w:val="006D4648"/>
    <w:rsid w:val="006D49EE"/>
    <w:rsid w:val="006D5972"/>
    <w:rsid w:val="006D5DEB"/>
    <w:rsid w:val="006D61BA"/>
    <w:rsid w:val="006D6B56"/>
    <w:rsid w:val="006D7E73"/>
    <w:rsid w:val="006E2604"/>
    <w:rsid w:val="006E56F6"/>
    <w:rsid w:val="006E5F96"/>
    <w:rsid w:val="006F035D"/>
    <w:rsid w:val="006F09F3"/>
    <w:rsid w:val="006F7BAC"/>
    <w:rsid w:val="007031E4"/>
    <w:rsid w:val="007174CD"/>
    <w:rsid w:val="00727145"/>
    <w:rsid w:val="007301BB"/>
    <w:rsid w:val="00730261"/>
    <w:rsid w:val="00731105"/>
    <w:rsid w:val="00731F31"/>
    <w:rsid w:val="00735637"/>
    <w:rsid w:val="00735C92"/>
    <w:rsid w:val="00736595"/>
    <w:rsid w:val="007367C5"/>
    <w:rsid w:val="00741790"/>
    <w:rsid w:val="00742C66"/>
    <w:rsid w:val="00743059"/>
    <w:rsid w:val="00744C5C"/>
    <w:rsid w:val="0074677C"/>
    <w:rsid w:val="00752AC0"/>
    <w:rsid w:val="00755698"/>
    <w:rsid w:val="007558F0"/>
    <w:rsid w:val="0075765F"/>
    <w:rsid w:val="00760CDE"/>
    <w:rsid w:val="00760FE8"/>
    <w:rsid w:val="00763D2F"/>
    <w:rsid w:val="007649F9"/>
    <w:rsid w:val="00772025"/>
    <w:rsid w:val="00773857"/>
    <w:rsid w:val="007747A6"/>
    <w:rsid w:val="007762A1"/>
    <w:rsid w:val="0077694C"/>
    <w:rsid w:val="007779CA"/>
    <w:rsid w:val="00783BE2"/>
    <w:rsid w:val="00784DC6"/>
    <w:rsid w:val="00797760"/>
    <w:rsid w:val="007A250F"/>
    <w:rsid w:val="007A4797"/>
    <w:rsid w:val="007A646A"/>
    <w:rsid w:val="007A6F2C"/>
    <w:rsid w:val="007B4B00"/>
    <w:rsid w:val="007B514E"/>
    <w:rsid w:val="007C04E9"/>
    <w:rsid w:val="007C249D"/>
    <w:rsid w:val="007C3587"/>
    <w:rsid w:val="007C4061"/>
    <w:rsid w:val="007C60B7"/>
    <w:rsid w:val="007E0540"/>
    <w:rsid w:val="007E0A3F"/>
    <w:rsid w:val="007E559D"/>
    <w:rsid w:val="007E6E8F"/>
    <w:rsid w:val="007F1BE7"/>
    <w:rsid w:val="007F3780"/>
    <w:rsid w:val="007F4459"/>
    <w:rsid w:val="007F4727"/>
    <w:rsid w:val="00800D74"/>
    <w:rsid w:val="008019E8"/>
    <w:rsid w:val="008043DB"/>
    <w:rsid w:val="00804BF3"/>
    <w:rsid w:val="0081129F"/>
    <w:rsid w:val="00813AA5"/>
    <w:rsid w:val="0081571F"/>
    <w:rsid w:val="008167B6"/>
    <w:rsid w:val="0081763A"/>
    <w:rsid w:val="0082105C"/>
    <w:rsid w:val="008217CA"/>
    <w:rsid w:val="00824DA5"/>
    <w:rsid w:val="00827534"/>
    <w:rsid w:val="00830F11"/>
    <w:rsid w:val="00831EDF"/>
    <w:rsid w:val="008325BB"/>
    <w:rsid w:val="00835BBB"/>
    <w:rsid w:val="00841083"/>
    <w:rsid w:val="008441DE"/>
    <w:rsid w:val="008512FD"/>
    <w:rsid w:val="00851882"/>
    <w:rsid w:val="0085666B"/>
    <w:rsid w:val="00857D6E"/>
    <w:rsid w:val="00857DC2"/>
    <w:rsid w:val="0086177A"/>
    <w:rsid w:val="00862551"/>
    <w:rsid w:val="008637E6"/>
    <w:rsid w:val="0086778E"/>
    <w:rsid w:val="00873418"/>
    <w:rsid w:val="008740B3"/>
    <w:rsid w:val="0087498D"/>
    <w:rsid w:val="0087719E"/>
    <w:rsid w:val="00877B38"/>
    <w:rsid w:val="008812B3"/>
    <w:rsid w:val="008837A6"/>
    <w:rsid w:val="00883CE9"/>
    <w:rsid w:val="00884320"/>
    <w:rsid w:val="008849AE"/>
    <w:rsid w:val="00885390"/>
    <w:rsid w:val="0088644B"/>
    <w:rsid w:val="008866D3"/>
    <w:rsid w:val="00894880"/>
    <w:rsid w:val="0089799F"/>
    <w:rsid w:val="008A0C1B"/>
    <w:rsid w:val="008A0EC3"/>
    <w:rsid w:val="008A3688"/>
    <w:rsid w:val="008A3912"/>
    <w:rsid w:val="008A3ED1"/>
    <w:rsid w:val="008A7FBE"/>
    <w:rsid w:val="008B0E9C"/>
    <w:rsid w:val="008B5D8F"/>
    <w:rsid w:val="008B744F"/>
    <w:rsid w:val="008B789D"/>
    <w:rsid w:val="008C2B02"/>
    <w:rsid w:val="008C35A9"/>
    <w:rsid w:val="008C3FDA"/>
    <w:rsid w:val="008C51F2"/>
    <w:rsid w:val="008C60E0"/>
    <w:rsid w:val="008C67FC"/>
    <w:rsid w:val="008C7B8F"/>
    <w:rsid w:val="008C7F14"/>
    <w:rsid w:val="008D11E6"/>
    <w:rsid w:val="008D2767"/>
    <w:rsid w:val="008D6197"/>
    <w:rsid w:val="008D626E"/>
    <w:rsid w:val="008D6AAA"/>
    <w:rsid w:val="008E1D0C"/>
    <w:rsid w:val="008E49FE"/>
    <w:rsid w:val="008E5B5A"/>
    <w:rsid w:val="008F06D4"/>
    <w:rsid w:val="008F395F"/>
    <w:rsid w:val="008F5226"/>
    <w:rsid w:val="008F6CAE"/>
    <w:rsid w:val="00901B01"/>
    <w:rsid w:val="00901E27"/>
    <w:rsid w:val="0090297D"/>
    <w:rsid w:val="00903384"/>
    <w:rsid w:val="00904DA8"/>
    <w:rsid w:val="00906A44"/>
    <w:rsid w:val="00911DC7"/>
    <w:rsid w:val="0091243A"/>
    <w:rsid w:val="00913652"/>
    <w:rsid w:val="00913C41"/>
    <w:rsid w:val="009153C5"/>
    <w:rsid w:val="00916B9A"/>
    <w:rsid w:val="00917F15"/>
    <w:rsid w:val="00924806"/>
    <w:rsid w:val="009250E0"/>
    <w:rsid w:val="00932369"/>
    <w:rsid w:val="00936F50"/>
    <w:rsid w:val="0093795E"/>
    <w:rsid w:val="00941EE5"/>
    <w:rsid w:val="00943380"/>
    <w:rsid w:val="00950F9D"/>
    <w:rsid w:val="00953A76"/>
    <w:rsid w:val="00963CA5"/>
    <w:rsid w:val="00967F33"/>
    <w:rsid w:val="00981902"/>
    <w:rsid w:val="00982EC7"/>
    <w:rsid w:val="00984B7F"/>
    <w:rsid w:val="00985708"/>
    <w:rsid w:val="00987B8F"/>
    <w:rsid w:val="00994FBC"/>
    <w:rsid w:val="009A293C"/>
    <w:rsid w:val="009A364B"/>
    <w:rsid w:val="009B05FF"/>
    <w:rsid w:val="009B1FF3"/>
    <w:rsid w:val="009B3071"/>
    <w:rsid w:val="009B4261"/>
    <w:rsid w:val="009B4BB3"/>
    <w:rsid w:val="009B78EC"/>
    <w:rsid w:val="009C6A18"/>
    <w:rsid w:val="009D16C8"/>
    <w:rsid w:val="009D1FBE"/>
    <w:rsid w:val="009D232E"/>
    <w:rsid w:val="009E2260"/>
    <w:rsid w:val="009E2E47"/>
    <w:rsid w:val="009E3C40"/>
    <w:rsid w:val="009E550E"/>
    <w:rsid w:val="009E7962"/>
    <w:rsid w:val="009F2122"/>
    <w:rsid w:val="00A0255E"/>
    <w:rsid w:val="00A03A10"/>
    <w:rsid w:val="00A0582C"/>
    <w:rsid w:val="00A07D2E"/>
    <w:rsid w:val="00A10DCE"/>
    <w:rsid w:val="00A17549"/>
    <w:rsid w:val="00A2156E"/>
    <w:rsid w:val="00A3098B"/>
    <w:rsid w:val="00A31868"/>
    <w:rsid w:val="00A36566"/>
    <w:rsid w:val="00A42074"/>
    <w:rsid w:val="00A436E1"/>
    <w:rsid w:val="00A44BB2"/>
    <w:rsid w:val="00A4511D"/>
    <w:rsid w:val="00A45CE2"/>
    <w:rsid w:val="00A47897"/>
    <w:rsid w:val="00A567A5"/>
    <w:rsid w:val="00A606E0"/>
    <w:rsid w:val="00A623AF"/>
    <w:rsid w:val="00A62522"/>
    <w:rsid w:val="00A652EC"/>
    <w:rsid w:val="00A679DB"/>
    <w:rsid w:val="00A70CA7"/>
    <w:rsid w:val="00A776C9"/>
    <w:rsid w:val="00A80E36"/>
    <w:rsid w:val="00A8243B"/>
    <w:rsid w:val="00A83766"/>
    <w:rsid w:val="00A859AA"/>
    <w:rsid w:val="00A91627"/>
    <w:rsid w:val="00A92AF7"/>
    <w:rsid w:val="00A9393A"/>
    <w:rsid w:val="00A96227"/>
    <w:rsid w:val="00AA2AFB"/>
    <w:rsid w:val="00AA4F37"/>
    <w:rsid w:val="00AA6012"/>
    <w:rsid w:val="00AA60DD"/>
    <w:rsid w:val="00AA6E77"/>
    <w:rsid w:val="00AB2FC6"/>
    <w:rsid w:val="00AB3B36"/>
    <w:rsid w:val="00AB4F4D"/>
    <w:rsid w:val="00AB53C4"/>
    <w:rsid w:val="00AC142C"/>
    <w:rsid w:val="00AC19CD"/>
    <w:rsid w:val="00AC1E2D"/>
    <w:rsid w:val="00AC2851"/>
    <w:rsid w:val="00AC38BB"/>
    <w:rsid w:val="00AC3C35"/>
    <w:rsid w:val="00AD2B59"/>
    <w:rsid w:val="00AD3E67"/>
    <w:rsid w:val="00AE00FB"/>
    <w:rsid w:val="00AE05B5"/>
    <w:rsid w:val="00AE0FFE"/>
    <w:rsid w:val="00AE1E52"/>
    <w:rsid w:val="00AE6317"/>
    <w:rsid w:val="00AE639C"/>
    <w:rsid w:val="00AE6E5E"/>
    <w:rsid w:val="00AF26A8"/>
    <w:rsid w:val="00AF274F"/>
    <w:rsid w:val="00AF2CAD"/>
    <w:rsid w:val="00AF465B"/>
    <w:rsid w:val="00AF4776"/>
    <w:rsid w:val="00B0302E"/>
    <w:rsid w:val="00B0728D"/>
    <w:rsid w:val="00B13525"/>
    <w:rsid w:val="00B135D7"/>
    <w:rsid w:val="00B13EE5"/>
    <w:rsid w:val="00B15A79"/>
    <w:rsid w:val="00B1663D"/>
    <w:rsid w:val="00B17D33"/>
    <w:rsid w:val="00B23A8C"/>
    <w:rsid w:val="00B26A49"/>
    <w:rsid w:val="00B26E48"/>
    <w:rsid w:val="00B307C7"/>
    <w:rsid w:val="00B32A5C"/>
    <w:rsid w:val="00B33021"/>
    <w:rsid w:val="00B373ED"/>
    <w:rsid w:val="00B3755A"/>
    <w:rsid w:val="00B37AB4"/>
    <w:rsid w:val="00B40E86"/>
    <w:rsid w:val="00B41473"/>
    <w:rsid w:val="00B44A49"/>
    <w:rsid w:val="00B45BC3"/>
    <w:rsid w:val="00B468BB"/>
    <w:rsid w:val="00B47A6E"/>
    <w:rsid w:val="00B51E93"/>
    <w:rsid w:val="00B52837"/>
    <w:rsid w:val="00B53494"/>
    <w:rsid w:val="00B54E01"/>
    <w:rsid w:val="00B554F9"/>
    <w:rsid w:val="00B5552F"/>
    <w:rsid w:val="00B55BEB"/>
    <w:rsid w:val="00B6171E"/>
    <w:rsid w:val="00B6197F"/>
    <w:rsid w:val="00B61F33"/>
    <w:rsid w:val="00B64450"/>
    <w:rsid w:val="00B6449A"/>
    <w:rsid w:val="00B64EA4"/>
    <w:rsid w:val="00B65047"/>
    <w:rsid w:val="00B6689D"/>
    <w:rsid w:val="00B7161B"/>
    <w:rsid w:val="00B7204B"/>
    <w:rsid w:val="00B743F3"/>
    <w:rsid w:val="00B75FA0"/>
    <w:rsid w:val="00B77482"/>
    <w:rsid w:val="00B77B9C"/>
    <w:rsid w:val="00B81D9E"/>
    <w:rsid w:val="00B91FC4"/>
    <w:rsid w:val="00B929FA"/>
    <w:rsid w:val="00B9305A"/>
    <w:rsid w:val="00B96022"/>
    <w:rsid w:val="00B97B28"/>
    <w:rsid w:val="00BA478D"/>
    <w:rsid w:val="00BB06F8"/>
    <w:rsid w:val="00BB27C1"/>
    <w:rsid w:val="00BB2D33"/>
    <w:rsid w:val="00BB33C2"/>
    <w:rsid w:val="00BB6E70"/>
    <w:rsid w:val="00BC161D"/>
    <w:rsid w:val="00BC47D9"/>
    <w:rsid w:val="00BD793A"/>
    <w:rsid w:val="00BE513B"/>
    <w:rsid w:val="00BE73DD"/>
    <w:rsid w:val="00BF27C5"/>
    <w:rsid w:val="00BF7DA9"/>
    <w:rsid w:val="00C07B1D"/>
    <w:rsid w:val="00C11B4C"/>
    <w:rsid w:val="00C13CC2"/>
    <w:rsid w:val="00C14919"/>
    <w:rsid w:val="00C14B7F"/>
    <w:rsid w:val="00C157E4"/>
    <w:rsid w:val="00C1715E"/>
    <w:rsid w:val="00C17E5F"/>
    <w:rsid w:val="00C21539"/>
    <w:rsid w:val="00C2343C"/>
    <w:rsid w:val="00C30E71"/>
    <w:rsid w:val="00C34B51"/>
    <w:rsid w:val="00C35592"/>
    <w:rsid w:val="00C3732D"/>
    <w:rsid w:val="00C37B8C"/>
    <w:rsid w:val="00C37EF3"/>
    <w:rsid w:val="00C43958"/>
    <w:rsid w:val="00C45742"/>
    <w:rsid w:val="00C5242F"/>
    <w:rsid w:val="00C579F8"/>
    <w:rsid w:val="00C639D5"/>
    <w:rsid w:val="00C702BF"/>
    <w:rsid w:val="00C74D10"/>
    <w:rsid w:val="00C75C85"/>
    <w:rsid w:val="00C8005E"/>
    <w:rsid w:val="00C82A64"/>
    <w:rsid w:val="00C83DFC"/>
    <w:rsid w:val="00C86F87"/>
    <w:rsid w:val="00C87D83"/>
    <w:rsid w:val="00C91CD1"/>
    <w:rsid w:val="00C933ED"/>
    <w:rsid w:val="00C95B87"/>
    <w:rsid w:val="00C97D61"/>
    <w:rsid w:val="00CA2046"/>
    <w:rsid w:val="00CA3245"/>
    <w:rsid w:val="00CA550C"/>
    <w:rsid w:val="00CB18AC"/>
    <w:rsid w:val="00CB1ABF"/>
    <w:rsid w:val="00CB59C8"/>
    <w:rsid w:val="00CB62A2"/>
    <w:rsid w:val="00CC2839"/>
    <w:rsid w:val="00CC5A35"/>
    <w:rsid w:val="00CD00C5"/>
    <w:rsid w:val="00CD00C7"/>
    <w:rsid w:val="00CD05A6"/>
    <w:rsid w:val="00CD2D13"/>
    <w:rsid w:val="00CD4DFF"/>
    <w:rsid w:val="00CD539F"/>
    <w:rsid w:val="00CD557A"/>
    <w:rsid w:val="00CD78CB"/>
    <w:rsid w:val="00CD7DC2"/>
    <w:rsid w:val="00CE08F8"/>
    <w:rsid w:val="00CE32A2"/>
    <w:rsid w:val="00CF03F9"/>
    <w:rsid w:val="00CF1122"/>
    <w:rsid w:val="00CF2C45"/>
    <w:rsid w:val="00D0433F"/>
    <w:rsid w:val="00D0463A"/>
    <w:rsid w:val="00D073ED"/>
    <w:rsid w:val="00D11500"/>
    <w:rsid w:val="00D14D37"/>
    <w:rsid w:val="00D15C43"/>
    <w:rsid w:val="00D16C84"/>
    <w:rsid w:val="00D206B3"/>
    <w:rsid w:val="00D20DE5"/>
    <w:rsid w:val="00D232DB"/>
    <w:rsid w:val="00D310F4"/>
    <w:rsid w:val="00D31B66"/>
    <w:rsid w:val="00D333D9"/>
    <w:rsid w:val="00D33F71"/>
    <w:rsid w:val="00D365E3"/>
    <w:rsid w:val="00D4209C"/>
    <w:rsid w:val="00D42556"/>
    <w:rsid w:val="00D42FF8"/>
    <w:rsid w:val="00D44F0B"/>
    <w:rsid w:val="00D45C2D"/>
    <w:rsid w:val="00D4611E"/>
    <w:rsid w:val="00D5150B"/>
    <w:rsid w:val="00D60CD9"/>
    <w:rsid w:val="00D61876"/>
    <w:rsid w:val="00D70A14"/>
    <w:rsid w:val="00D72044"/>
    <w:rsid w:val="00D77249"/>
    <w:rsid w:val="00D80D73"/>
    <w:rsid w:val="00D83ACD"/>
    <w:rsid w:val="00D9159D"/>
    <w:rsid w:val="00D93589"/>
    <w:rsid w:val="00D949C6"/>
    <w:rsid w:val="00DA2C8F"/>
    <w:rsid w:val="00DA309E"/>
    <w:rsid w:val="00DA533E"/>
    <w:rsid w:val="00DA6C3B"/>
    <w:rsid w:val="00DA74A5"/>
    <w:rsid w:val="00DA7A65"/>
    <w:rsid w:val="00DA7C20"/>
    <w:rsid w:val="00DB044C"/>
    <w:rsid w:val="00DB08FE"/>
    <w:rsid w:val="00DB292D"/>
    <w:rsid w:val="00DB6BBD"/>
    <w:rsid w:val="00DC1234"/>
    <w:rsid w:val="00DC47A6"/>
    <w:rsid w:val="00DC6D1F"/>
    <w:rsid w:val="00DD213B"/>
    <w:rsid w:val="00DD26E0"/>
    <w:rsid w:val="00DE7006"/>
    <w:rsid w:val="00DF1583"/>
    <w:rsid w:val="00DF4B9F"/>
    <w:rsid w:val="00DF734D"/>
    <w:rsid w:val="00E0134F"/>
    <w:rsid w:val="00E022FF"/>
    <w:rsid w:val="00E04632"/>
    <w:rsid w:val="00E06F14"/>
    <w:rsid w:val="00E12CF2"/>
    <w:rsid w:val="00E12CF5"/>
    <w:rsid w:val="00E12F28"/>
    <w:rsid w:val="00E13B17"/>
    <w:rsid w:val="00E15C1C"/>
    <w:rsid w:val="00E2146E"/>
    <w:rsid w:val="00E21748"/>
    <w:rsid w:val="00E31EC6"/>
    <w:rsid w:val="00E35040"/>
    <w:rsid w:val="00E36F52"/>
    <w:rsid w:val="00E3708B"/>
    <w:rsid w:val="00E515BC"/>
    <w:rsid w:val="00E516DD"/>
    <w:rsid w:val="00E51EAA"/>
    <w:rsid w:val="00E52A3B"/>
    <w:rsid w:val="00E564B3"/>
    <w:rsid w:val="00E56645"/>
    <w:rsid w:val="00E62A40"/>
    <w:rsid w:val="00E62AB2"/>
    <w:rsid w:val="00E6790D"/>
    <w:rsid w:val="00E72B9F"/>
    <w:rsid w:val="00E774A0"/>
    <w:rsid w:val="00E778DA"/>
    <w:rsid w:val="00E80F3B"/>
    <w:rsid w:val="00E8300F"/>
    <w:rsid w:val="00E83380"/>
    <w:rsid w:val="00E83A18"/>
    <w:rsid w:val="00E9768B"/>
    <w:rsid w:val="00EA1F17"/>
    <w:rsid w:val="00EA2DBE"/>
    <w:rsid w:val="00EA3F11"/>
    <w:rsid w:val="00EA5708"/>
    <w:rsid w:val="00EA7753"/>
    <w:rsid w:val="00EB690B"/>
    <w:rsid w:val="00EB6DD9"/>
    <w:rsid w:val="00EC20E7"/>
    <w:rsid w:val="00ED2553"/>
    <w:rsid w:val="00ED3DC6"/>
    <w:rsid w:val="00ED5F76"/>
    <w:rsid w:val="00ED753E"/>
    <w:rsid w:val="00EE1729"/>
    <w:rsid w:val="00EE5A57"/>
    <w:rsid w:val="00EE63E8"/>
    <w:rsid w:val="00EF5CE9"/>
    <w:rsid w:val="00F026BC"/>
    <w:rsid w:val="00F026D7"/>
    <w:rsid w:val="00F03D0B"/>
    <w:rsid w:val="00F03E05"/>
    <w:rsid w:val="00F05572"/>
    <w:rsid w:val="00F0688C"/>
    <w:rsid w:val="00F107C4"/>
    <w:rsid w:val="00F1139F"/>
    <w:rsid w:val="00F12518"/>
    <w:rsid w:val="00F12D69"/>
    <w:rsid w:val="00F15937"/>
    <w:rsid w:val="00F15F05"/>
    <w:rsid w:val="00F16F38"/>
    <w:rsid w:val="00F17FAA"/>
    <w:rsid w:val="00F2121F"/>
    <w:rsid w:val="00F2475D"/>
    <w:rsid w:val="00F24859"/>
    <w:rsid w:val="00F369C8"/>
    <w:rsid w:val="00F43744"/>
    <w:rsid w:val="00F45F53"/>
    <w:rsid w:val="00F46961"/>
    <w:rsid w:val="00F46B44"/>
    <w:rsid w:val="00F47F5D"/>
    <w:rsid w:val="00F570BB"/>
    <w:rsid w:val="00F61703"/>
    <w:rsid w:val="00F64161"/>
    <w:rsid w:val="00F66933"/>
    <w:rsid w:val="00F67038"/>
    <w:rsid w:val="00F70133"/>
    <w:rsid w:val="00F81B7D"/>
    <w:rsid w:val="00F822BE"/>
    <w:rsid w:val="00F82F16"/>
    <w:rsid w:val="00F85B87"/>
    <w:rsid w:val="00F877B5"/>
    <w:rsid w:val="00FA26F5"/>
    <w:rsid w:val="00FA6A7D"/>
    <w:rsid w:val="00FA77B1"/>
    <w:rsid w:val="00FB1495"/>
    <w:rsid w:val="00FC06C8"/>
    <w:rsid w:val="00FC524B"/>
    <w:rsid w:val="00FC7664"/>
    <w:rsid w:val="00FD2B71"/>
    <w:rsid w:val="00FD40C1"/>
    <w:rsid w:val="00FE2949"/>
    <w:rsid w:val="00FE3F10"/>
    <w:rsid w:val="00FE42D9"/>
    <w:rsid w:val="00FF02EF"/>
    <w:rsid w:val="00FF14D1"/>
    <w:rsid w:val="00FF3992"/>
    <w:rsid w:val="00FF47CB"/>
    <w:rsid w:val="00FF68C7"/>
    <w:rsid w:val="00FF6EA3"/>
    <w:rsid w:val="68C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80FCF3-5045-44EB-9701-648DF2E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eastAsia="Calibri" w:hAnsi="Tahoma"/>
      <w:sz w:val="16"/>
      <w:szCs w:val="16"/>
      <w:lang w:eastAsia="en-US"/>
    </w:rPr>
  </w:style>
  <w:style w:type="paragraph" w:styleId="a5">
    <w:name w:val="Body Text Indent"/>
    <w:basedOn w:val="a"/>
    <w:link w:val="a6"/>
    <w:qFormat/>
    <w:pPr>
      <w:spacing w:after="120"/>
      <w:ind w:left="283"/>
    </w:p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uiPriority w:val="99"/>
    <w:qFormat/>
    <w:pPr>
      <w:tabs>
        <w:tab w:val="center" w:pos="4536"/>
        <w:tab w:val="right" w:pos="9072"/>
      </w:tabs>
    </w:p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</w:style>
  <w:style w:type="character" w:styleId="af1">
    <w:name w:val="Hyperlink"/>
    <w:rPr>
      <w:color w:val="0563C1"/>
      <w:u w:val="single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styleId="af3">
    <w:name w:val="Strong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amedocreference">
    <w:name w:val="samedocreference"/>
    <w:basedOn w:val="a0"/>
  </w:style>
  <w:style w:type="character" w:customStyle="1" w:styleId="newdocreference">
    <w:name w:val="newdocreference"/>
    <w:basedOn w:val="a0"/>
  </w:style>
  <w:style w:type="character" w:customStyle="1" w:styleId="af0">
    <w:name w:val="Горен колонтитул Знак"/>
    <w:link w:val="af"/>
    <w:qFormat/>
    <w:rPr>
      <w:sz w:val="24"/>
      <w:szCs w:val="24"/>
    </w:rPr>
  </w:style>
  <w:style w:type="character" w:customStyle="1" w:styleId="ae">
    <w:name w:val="Долен колонтитул Знак"/>
    <w:link w:val="ad"/>
    <w:uiPriority w:val="99"/>
    <w:qFormat/>
    <w:rPr>
      <w:sz w:val="24"/>
      <w:szCs w:val="24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Изнесен текст Знак"/>
    <w:link w:val="a3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Основен текст с отстъп Знак"/>
    <w:link w:val="a5"/>
    <w:qFormat/>
    <w:rPr>
      <w:sz w:val="24"/>
      <w:szCs w:val="24"/>
      <w:lang w:val="bg-BG" w:eastAsia="bg-BG"/>
    </w:rPr>
  </w:style>
  <w:style w:type="character" w:customStyle="1" w:styleId="a9">
    <w:name w:val="Текст на коментар Знак"/>
    <w:link w:val="a8"/>
    <w:rPr>
      <w:lang w:val="bg-BG" w:eastAsia="bg-BG"/>
    </w:rPr>
  </w:style>
  <w:style w:type="character" w:customStyle="1" w:styleId="ab">
    <w:name w:val="Предмет на коментар Знак"/>
    <w:link w:val="aa"/>
    <w:rPr>
      <w:b/>
      <w:bCs/>
      <w:lang w:val="bg-BG" w:eastAsia="bg-BG"/>
    </w:rPr>
  </w:style>
  <w:style w:type="character" w:customStyle="1" w:styleId="2">
    <w:name w:val="Основен текст (2)_"/>
    <w:link w:val="21"/>
    <w:locked/>
    <w:rPr>
      <w:shd w:val="clear" w:color="auto" w:fill="FFFFFF"/>
    </w:rPr>
  </w:style>
  <w:style w:type="paragraph" w:customStyle="1" w:styleId="21">
    <w:name w:val="Основен текст (2)1"/>
    <w:basedOn w:val="a"/>
    <w:link w:val="2"/>
    <w:pPr>
      <w:widowControl w:val="0"/>
      <w:shd w:val="clear" w:color="auto" w:fill="FFFFFF"/>
      <w:spacing w:line="240" w:lineRule="atLeast"/>
      <w:ind w:hanging="720"/>
    </w:pPr>
    <w:rPr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pital.bg/biznes/energetika/2022/03/23/4327941_kak_voinata_v_ukraina_promenia_prioritetite_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pital.bg/specialni_izdaniia/tejka_industriia/2018/10/30/3329485_industriiata_vodi_horoto_na_krugovata_ikonomi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pital.bg/politika_i_ikonomika/ikonomika/2018/01/05/3106818_ikonomika_na_krugovet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01D5-073E-480D-8662-668DA653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Vladimir Iliev</cp:lastModifiedBy>
  <cp:revision>2</cp:revision>
  <dcterms:created xsi:type="dcterms:W3CDTF">2023-02-28T12:16:00Z</dcterms:created>
  <dcterms:modified xsi:type="dcterms:W3CDTF">2023-02-28T12:16:00Z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F531D9E37A0341A995A95A71C9216F9F</vt:lpwstr>
  </property>
</Properties>
</file>