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827B70" w14:textId="77777777" w:rsidR="0037300E" w:rsidRPr="00145E9B" w:rsidRDefault="0037300E" w:rsidP="0037300E">
      <w:pPr>
        <w:shd w:val="clear" w:color="auto" w:fill="FFFFFF"/>
        <w:spacing w:after="0" w:line="240" w:lineRule="auto"/>
        <w:jc w:val="right"/>
        <w:rPr>
          <w:rFonts w:asciiTheme="majorHAnsi" w:eastAsia="Times New Roman" w:hAnsiTheme="majorHAnsi" w:cs="Times New Roman"/>
          <w:color w:val="222222"/>
          <w:sz w:val="24"/>
          <w:szCs w:val="24"/>
          <w:lang w:eastAsia="bg-BG"/>
        </w:rPr>
      </w:pPr>
      <w:r w:rsidRPr="00145E9B">
        <w:rPr>
          <w:rFonts w:asciiTheme="majorHAnsi" w:eastAsia="Times New Roman" w:hAnsiTheme="majorHAnsi" w:cs="Times New Roman"/>
          <w:b/>
          <w:color w:val="222222"/>
          <w:sz w:val="24"/>
          <w:szCs w:val="24"/>
          <w:lang w:eastAsia="bg-BG"/>
        </w:rPr>
        <w:t>Приложение № 4</w:t>
      </w:r>
      <w:r w:rsidRPr="00145E9B">
        <w:rPr>
          <w:rFonts w:asciiTheme="majorHAnsi" w:eastAsia="Times New Roman" w:hAnsiTheme="majorHAnsi" w:cs="Times New Roman"/>
          <w:color w:val="222222"/>
          <w:sz w:val="24"/>
          <w:szCs w:val="24"/>
          <w:lang w:eastAsia="bg-BG"/>
        </w:rPr>
        <w:t xml:space="preserve"> към чл. 8а, ал. 1</w:t>
      </w:r>
    </w:p>
    <w:p w14:paraId="2DC6642F" w14:textId="77777777" w:rsidR="0037300E" w:rsidRPr="00145E9B" w:rsidRDefault="0037300E" w:rsidP="0037300E">
      <w:pPr>
        <w:shd w:val="clear" w:color="auto" w:fill="FFFFFF"/>
        <w:spacing w:after="0" w:line="240" w:lineRule="auto"/>
        <w:jc w:val="both"/>
        <w:rPr>
          <w:rFonts w:asciiTheme="majorHAnsi" w:eastAsia="Times New Roman" w:hAnsiTheme="majorHAnsi" w:cs="Times New Roman"/>
          <w:color w:val="222222"/>
          <w:sz w:val="24"/>
          <w:szCs w:val="24"/>
          <w:lang w:eastAsia="bg-BG"/>
        </w:rPr>
      </w:pPr>
      <w:r w:rsidRPr="00145E9B">
        <w:rPr>
          <w:rFonts w:asciiTheme="majorHAnsi" w:eastAsia="Calibri" w:hAnsiTheme="majorHAnsi" w:cs="Times New Roman"/>
          <w:i/>
          <w:sz w:val="24"/>
          <w:szCs w:val="24"/>
        </w:rPr>
        <w:t xml:space="preserve">от Наредба за условията и реда за извършване на екологична оценка на планове и програми </w:t>
      </w:r>
      <w:r w:rsidRPr="00145E9B">
        <w:rPr>
          <w:rFonts w:asciiTheme="majorHAnsi" w:eastAsia="Times New Roman" w:hAnsiTheme="majorHAnsi" w:cs="Times New Roman"/>
          <w:i/>
          <w:color w:val="222222"/>
          <w:sz w:val="24"/>
          <w:szCs w:val="24"/>
          <w:lang w:eastAsia="bg-BG"/>
        </w:rPr>
        <w:t>(Ново - ДВ, бр. 12 от 2016 г., в сила от 12.02.2016 г., изм. и доп. - ДВ, бр. 3 от 2018 г., изм. - ДВ, бр. 31 от 2019 г., в сила от 12.04.2019 г.)</w:t>
      </w:r>
    </w:p>
    <w:p w14:paraId="2EFE3984" w14:textId="77777777" w:rsidR="0037300E" w:rsidRPr="00145E9B" w:rsidRDefault="0037300E" w:rsidP="0037300E">
      <w:pPr>
        <w:spacing w:after="0" w:line="240" w:lineRule="auto"/>
        <w:jc w:val="both"/>
        <w:rPr>
          <w:rFonts w:asciiTheme="majorHAnsi" w:eastAsia="Times New Roman" w:hAnsiTheme="majorHAnsi" w:cs="Times New Roman"/>
          <w:color w:val="222222"/>
          <w:sz w:val="24"/>
          <w:szCs w:val="24"/>
          <w:lang w:eastAsia="bg-BG"/>
        </w:rPr>
      </w:pPr>
      <w:r w:rsidRPr="00145E9B">
        <w:rPr>
          <w:rFonts w:asciiTheme="majorHAnsi" w:eastAsia="Times New Roman" w:hAnsiTheme="majorHAnsi" w:cs="Times New Roman"/>
          <w:color w:val="222222"/>
          <w:sz w:val="24"/>
          <w:szCs w:val="24"/>
          <w:lang w:eastAsia="bg-BG"/>
        </w:rPr>
        <w:t>ДО</w:t>
      </w:r>
    </w:p>
    <w:p w14:paraId="69F139A5" w14:textId="77777777" w:rsidR="0037300E" w:rsidRPr="00145E9B" w:rsidRDefault="0037300E" w:rsidP="0037300E">
      <w:pPr>
        <w:spacing w:after="0" w:line="240" w:lineRule="auto"/>
        <w:jc w:val="both"/>
        <w:rPr>
          <w:rFonts w:asciiTheme="majorHAnsi" w:eastAsia="Times New Roman" w:hAnsiTheme="majorHAnsi" w:cs="Times New Roman"/>
          <w:color w:val="222222"/>
          <w:sz w:val="24"/>
          <w:szCs w:val="24"/>
          <w:lang w:eastAsia="bg-BG"/>
        </w:rPr>
      </w:pPr>
      <w:r w:rsidRPr="00145E9B">
        <w:rPr>
          <w:rFonts w:asciiTheme="majorHAnsi" w:eastAsia="Times New Roman" w:hAnsiTheme="majorHAnsi" w:cs="Times New Roman"/>
          <w:color w:val="222222"/>
          <w:sz w:val="24"/>
          <w:szCs w:val="24"/>
          <w:lang w:eastAsia="bg-BG"/>
        </w:rPr>
        <w:t>ДИРЕКТОРА НА РИОСВ ПЛОВДИВ</w:t>
      </w:r>
    </w:p>
    <w:p w14:paraId="663D4DB9" w14:textId="77777777" w:rsidR="0037300E" w:rsidRPr="00145E9B" w:rsidRDefault="0037300E" w:rsidP="0037300E">
      <w:pPr>
        <w:spacing w:after="0" w:line="240" w:lineRule="auto"/>
        <w:jc w:val="both"/>
        <w:rPr>
          <w:rFonts w:asciiTheme="majorHAnsi" w:eastAsia="Times New Roman" w:hAnsiTheme="majorHAnsi" w:cs="Times New Roman"/>
          <w:color w:val="222222"/>
          <w:sz w:val="24"/>
          <w:szCs w:val="24"/>
          <w:lang w:eastAsia="bg-BG"/>
        </w:rPr>
      </w:pPr>
    </w:p>
    <w:p w14:paraId="58DBA9CB" w14:textId="77777777" w:rsidR="0037300E" w:rsidRPr="00145E9B" w:rsidRDefault="0037300E" w:rsidP="0037300E">
      <w:pPr>
        <w:spacing w:after="0" w:line="240" w:lineRule="auto"/>
        <w:jc w:val="center"/>
        <w:rPr>
          <w:rFonts w:asciiTheme="majorHAnsi" w:eastAsia="Times New Roman" w:hAnsiTheme="majorHAnsi" w:cs="Times New Roman"/>
          <w:color w:val="222222"/>
          <w:sz w:val="24"/>
          <w:szCs w:val="24"/>
          <w:lang w:eastAsia="bg-BG"/>
        </w:rPr>
      </w:pPr>
      <w:r w:rsidRPr="00145E9B">
        <w:rPr>
          <w:rFonts w:asciiTheme="majorHAnsi" w:eastAsia="Times New Roman" w:hAnsiTheme="majorHAnsi" w:cs="Times New Roman"/>
          <w:color w:val="222222"/>
          <w:sz w:val="24"/>
          <w:szCs w:val="24"/>
          <w:lang w:eastAsia="bg-BG"/>
        </w:rPr>
        <w:t>ИСКАНЕ</w:t>
      </w:r>
    </w:p>
    <w:p w14:paraId="7E0DA6AF" w14:textId="77777777" w:rsidR="0037300E" w:rsidRPr="00145E9B" w:rsidRDefault="0037300E" w:rsidP="0037300E">
      <w:pPr>
        <w:spacing w:after="0" w:line="240" w:lineRule="auto"/>
        <w:jc w:val="center"/>
        <w:rPr>
          <w:rFonts w:asciiTheme="majorHAnsi" w:eastAsia="Times New Roman" w:hAnsiTheme="majorHAnsi" w:cs="Times New Roman"/>
          <w:color w:val="222222"/>
          <w:sz w:val="24"/>
          <w:szCs w:val="24"/>
          <w:lang w:eastAsia="bg-BG"/>
        </w:rPr>
      </w:pPr>
      <w:r w:rsidRPr="00145E9B">
        <w:rPr>
          <w:rFonts w:asciiTheme="majorHAnsi" w:eastAsia="Times New Roman" w:hAnsiTheme="majorHAnsi" w:cs="Times New Roman"/>
          <w:color w:val="222222"/>
          <w:sz w:val="24"/>
          <w:szCs w:val="24"/>
          <w:lang w:eastAsia="bg-BG"/>
        </w:rPr>
        <w:t>за преценяване на необходимостта от извършване на екологична оценка (ЕО)</w:t>
      </w:r>
    </w:p>
    <w:p w14:paraId="6CC094E3" w14:textId="37BD52F7" w:rsidR="0037300E" w:rsidRPr="00145E9B" w:rsidRDefault="0037300E" w:rsidP="006055FB">
      <w:pPr>
        <w:spacing w:after="0" w:line="240" w:lineRule="auto"/>
        <w:jc w:val="both"/>
        <w:rPr>
          <w:rFonts w:asciiTheme="majorHAnsi" w:eastAsia="Times New Roman" w:hAnsiTheme="majorHAnsi" w:cs="Times New Roman"/>
          <w:color w:val="222222"/>
          <w:sz w:val="24"/>
          <w:szCs w:val="24"/>
          <w:lang w:eastAsia="bg-BG"/>
        </w:rPr>
      </w:pPr>
      <w:r w:rsidRPr="00145E9B">
        <w:rPr>
          <w:rFonts w:asciiTheme="majorHAnsi" w:eastAsia="Times New Roman" w:hAnsiTheme="majorHAnsi" w:cs="Times New Roman"/>
          <w:color w:val="222222"/>
          <w:sz w:val="24"/>
          <w:szCs w:val="24"/>
          <w:lang w:eastAsia="bg-BG"/>
        </w:rPr>
        <w:t xml:space="preserve">от </w:t>
      </w:r>
      <w:proofErr w:type="spellStart"/>
      <w:r w:rsidR="00812459">
        <w:rPr>
          <w:rFonts w:asciiTheme="majorHAnsi" w:eastAsia="Times New Roman" w:hAnsiTheme="majorHAnsi" w:cs="Times New Roman"/>
          <w:color w:val="222222"/>
          <w:sz w:val="24"/>
          <w:szCs w:val="24"/>
          <w:lang w:eastAsia="bg-BG"/>
        </w:rPr>
        <w:t>Т.</w:t>
      </w:r>
      <w:r w:rsidR="006055FB" w:rsidRPr="00145E9B">
        <w:rPr>
          <w:rFonts w:asciiTheme="majorHAnsi" w:eastAsia="Times New Roman" w:hAnsiTheme="majorHAnsi" w:cs="Times New Roman"/>
          <w:color w:val="222222"/>
          <w:sz w:val="24"/>
          <w:szCs w:val="24"/>
          <w:lang w:eastAsia="bg-BG"/>
        </w:rPr>
        <w:t>Марковска</w:t>
      </w:r>
      <w:proofErr w:type="spellEnd"/>
      <w:r w:rsidR="006055FB" w:rsidRPr="00145E9B">
        <w:rPr>
          <w:rFonts w:asciiTheme="majorHAnsi" w:eastAsia="Times New Roman" w:hAnsiTheme="majorHAnsi" w:cs="Times New Roman"/>
          <w:color w:val="222222"/>
          <w:sz w:val="24"/>
          <w:szCs w:val="24"/>
          <w:lang w:eastAsia="bg-BG"/>
        </w:rPr>
        <w:t xml:space="preserve"> – Председател на Управителен съвет и представляващ Сдружение „Местна инициативна група Хисаря“</w:t>
      </w:r>
    </w:p>
    <w:p w14:paraId="331CB87C" w14:textId="77777777" w:rsidR="0037300E" w:rsidRPr="00145E9B" w:rsidRDefault="0037300E" w:rsidP="0037300E">
      <w:pPr>
        <w:spacing w:after="0" w:line="240" w:lineRule="auto"/>
        <w:jc w:val="center"/>
        <w:rPr>
          <w:rFonts w:asciiTheme="majorHAnsi" w:eastAsia="Times New Roman" w:hAnsiTheme="majorHAnsi" w:cs="Times New Roman"/>
          <w:color w:val="222222"/>
          <w:sz w:val="24"/>
          <w:szCs w:val="24"/>
          <w:lang w:eastAsia="bg-BG"/>
        </w:rPr>
      </w:pPr>
    </w:p>
    <w:p w14:paraId="6FDE35CD" w14:textId="77777777" w:rsidR="0037300E" w:rsidRPr="00145E9B" w:rsidRDefault="0037300E" w:rsidP="0037300E">
      <w:pPr>
        <w:spacing w:after="0" w:line="240" w:lineRule="auto"/>
        <w:jc w:val="both"/>
        <w:rPr>
          <w:rFonts w:asciiTheme="majorHAnsi" w:eastAsia="Times New Roman" w:hAnsiTheme="majorHAnsi" w:cs="Times New Roman"/>
          <w:color w:val="222222"/>
          <w:sz w:val="24"/>
          <w:szCs w:val="24"/>
          <w:lang w:eastAsia="bg-BG"/>
        </w:rPr>
      </w:pPr>
      <w:r w:rsidRPr="00145E9B">
        <w:rPr>
          <w:rFonts w:asciiTheme="majorHAnsi" w:eastAsia="Times New Roman" w:hAnsiTheme="majorHAnsi" w:cs="Times New Roman"/>
          <w:color w:val="222222"/>
          <w:sz w:val="24"/>
          <w:szCs w:val="24"/>
          <w:lang w:eastAsia="bg-BG"/>
        </w:rPr>
        <w:t>УВАЖАЕМИ Г-Н ДИРЕКТОР,</w:t>
      </w:r>
    </w:p>
    <w:p w14:paraId="00873285" w14:textId="77777777" w:rsidR="00DD5234" w:rsidRPr="00145E9B" w:rsidRDefault="0037300E" w:rsidP="00DD5234">
      <w:pPr>
        <w:widowControl w:val="0"/>
        <w:autoSpaceDE w:val="0"/>
        <w:autoSpaceDN w:val="0"/>
        <w:adjustRightInd w:val="0"/>
        <w:spacing w:before="100" w:beforeAutospacing="1" w:after="100" w:afterAutospacing="1" w:line="240" w:lineRule="auto"/>
        <w:rPr>
          <w:rFonts w:asciiTheme="majorHAnsi" w:eastAsia="Times New Roman" w:hAnsiTheme="majorHAnsi" w:cs="Times New Roman"/>
          <w:color w:val="222222"/>
          <w:sz w:val="24"/>
          <w:szCs w:val="24"/>
          <w:lang w:eastAsia="bg-BG"/>
        </w:rPr>
      </w:pPr>
      <w:r w:rsidRPr="00145E9B">
        <w:rPr>
          <w:rFonts w:asciiTheme="majorHAnsi" w:eastAsia="Times New Roman" w:hAnsiTheme="majorHAnsi" w:cs="Times New Roman"/>
          <w:color w:val="222222"/>
          <w:sz w:val="24"/>
          <w:szCs w:val="24"/>
          <w:lang w:eastAsia="bg-BG"/>
        </w:rPr>
        <w:t xml:space="preserve">Моля да ми бъде издадено решение за преценяване на необходимостта от екологична оценка на </w:t>
      </w:r>
    </w:p>
    <w:p w14:paraId="16E5C9AB" w14:textId="34ABBF78" w:rsidR="00DD5234" w:rsidRPr="00145E9B" w:rsidRDefault="00DD5234" w:rsidP="00DD5234">
      <w:pPr>
        <w:widowControl w:val="0"/>
        <w:autoSpaceDE w:val="0"/>
        <w:autoSpaceDN w:val="0"/>
        <w:adjustRightInd w:val="0"/>
        <w:spacing w:before="100" w:beforeAutospacing="1" w:after="100" w:afterAutospacing="1" w:line="240" w:lineRule="auto"/>
        <w:rPr>
          <w:rFonts w:asciiTheme="majorHAnsi" w:eastAsia="Times New Roman" w:hAnsiTheme="majorHAnsi" w:cs="Arial"/>
          <w:sz w:val="24"/>
          <w:szCs w:val="24"/>
          <w:lang w:eastAsia="bg-BG"/>
        </w:rPr>
      </w:pPr>
      <w:r w:rsidRPr="00145E9B">
        <w:rPr>
          <w:rFonts w:asciiTheme="majorHAnsi" w:eastAsia="Times New Roman" w:hAnsiTheme="majorHAnsi" w:cs="Times New Roman"/>
          <w:color w:val="222222"/>
          <w:sz w:val="24"/>
          <w:szCs w:val="24"/>
          <w:lang w:eastAsia="bg-BG"/>
        </w:rPr>
        <w:t>Проект на Стратегия за Водено от общностите местно развитие на Сдружение с нестопанска цел „Местна инициативна група Хисаря“</w:t>
      </w:r>
      <w:r w:rsidRPr="00145E9B">
        <w:rPr>
          <w:rFonts w:asciiTheme="majorHAnsi" w:eastAsia="Times New Roman" w:hAnsiTheme="majorHAnsi" w:cs="Arial"/>
          <w:sz w:val="24"/>
          <w:szCs w:val="24"/>
          <w:lang w:eastAsia="bg-BG"/>
        </w:rPr>
        <w:t xml:space="preserve"> </w:t>
      </w:r>
    </w:p>
    <w:p w14:paraId="3AC2E1A0" w14:textId="08766E2E" w:rsidR="0037300E" w:rsidRPr="00145E9B" w:rsidRDefault="0037300E" w:rsidP="0037300E">
      <w:pPr>
        <w:spacing w:after="0" w:line="240" w:lineRule="auto"/>
        <w:jc w:val="both"/>
        <w:rPr>
          <w:rFonts w:asciiTheme="majorHAnsi" w:eastAsia="Times New Roman" w:hAnsiTheme="majorHAnsi" w:cs="Times New Roman"/>
          <w:color w:val="222222"/>
          <w:sz w:val="24"/>
          <w:szCs w:val="24"/>
          <w:lang w:eastAsia="bg-BG"/>
        </w:rPr>
      </w:pPr>
    </w:p>
    <w:p w14:paraId="61567D2E" w14:textId="77777777" w:rsidR="0037300E" w:rsidRPr="00145E9B" w:rsidRDefault="0037300E" w:rsidP="0037300E">
      <w:pPr>
        <w:spacing w:after="0" w:line="240" w:lineRule="auto"/>
        <w:jc w:val="center"/>
        <w:rPr>
          <w:rFonts w:asciiTheme="majorHAnsi" w:eastAsia="Times New Roman" w:hAnsiTheme="majorHAnsi" w:cs="Times New Roman"/>
          <w:color w:val="222222"/>
          <w:sz w:val="24"/>
          <w:szCs w:val="24"/>
          <w:lang w:eastAsia="bg-BG"/>
        </w:rPr>
      </w:pPr>
      <w:r w:rsidRPr="00145E9B">
        <w:rPr>
          <w:rFonts w:asciiTheme="majorHAnsi" w:eastAsia="Times New Roman" w:hAnsiTheme="majorHAnsi" w:cs="Times New Roman"/>
          <w:color w:val="222222"/>
          <w:sz w:val="24"/>
          <w:szCs w:val="24"/>
          <w:lang w:eastAsia="bg-BG"/>
        </w:rPr>
        <w:t>(наименование на плана/програмата)</w:t>
      </w:r>
    </w:p>
    <w:p w14:paraId="4E0D478B" w14:textId="77777777" w:rsidR="0037300E" w:rsidRPr="00145E9B" w:rsidRDefault="0037300E" w:rsidP="0037300E">
      <w:pPr>
        <w:spacing w:after="0" w:line="240" w:lineRule="auto"/>
        <w:jc w:val="center"/>
        <w:rPr>
          <w:rFonts w:asciiTheme="majorHAnsi" w:eastAsia="Times New Roman" w:hAnsiTheme="majorHAnsi" w:cs="Times New Roman"/>
          <w:color w:val="222222"/>
          <w:sz w:val="24"/>
          <w:szCs w:val="24"/>
          <w:lang w:eastAsia="bg-BG"/>
        </w:rPr>
      </w:pPr>
    </w:p>
    <w:p w14:paraId="6E7E86AB" w14:textId="77777777" w:rsidR="0037300E" w:rsidRPr="00145E9B" w:rsidRDefault="0037300E" w:rsidP="0037300E">
      <w:pPr>
        <w:spacing w:after="0" w:line="240" w:lineRule="auto"/>
        <w:jc w:val="both"/>
        <w:rPr>
          <w:rFonts w:asciiTheme="majorHAnsi" w:eastAsia="Times New Roman" w:hAnsiTheme="majorHAnsi" w:cs="Times New Roman"/>
          <w:color w:val="222222"/>
          <w:sz w:val="24"/>
          <w:szCs w:val="24"/>
          <w:lang w:eastAsia="bg-BG"/>
        </w:rPr>
      </w:pPr>
      <w:r w:rsidRPr="00145E9B">
        <w:rPr>
          <w:rFonts w:asciiTheme="majorHAnsi" w:eastAsia="Times New Roman" w:hAnsiTheme="majorHAnsi" w:cs="Times New Roman"/>
          <w:color w:val="222222"/>
          <w:sz w:val="24"/>
          <w:szCs w:val="24"/>
          <w:lang w:eastAsia="bg-BG"/>
        </w:rPr>
        <w:t>Във връзка с това предоставям следната информация по </w:t>
      </w:r>
      <w:r w:rsidRPr="00145E9B">
        <w:rPr>
          <w:rFonts w:asciiTheme="majorHAnsi" w:eastAsia="Times New Roman" w:hAnsiTheme="majorHAnsi" w:cs="Times New Roman"/>
          <w:b/>
          <w:color w:val="222222"/>
          <w:sz w:val="24"/>
          <w:szCs w:val="24"/>
          <w:lang w:eastAsia="bg-BG"/>
        </w:rPr>
        <w:t>чл. 8а, ал. 1</w:t>
      </w:r>
      <w:r w:rsidRPr="00145E9B">
        <w:rPr>
          <w:rFonts w:asciiTheme="majorHAnsi" w:eastAsia="Times New Roman" w:hAnsiTheme="majorHAnsi" w:cs="Times New Roman"/>
          <w:color w:val="222222"/>
          <w:sz w:val="24"/>
          <w:szCs w:val="24"/>
          <w:lang w:eastAsia="bg-BG"/>
        </w:rPr>
        <w:t> от Наредбата за условията и реда за извършване на екологична оценка на планове и програми:</w:t>
      </w:r>
    </w:p>
    <w:p w14:paraId="070152E6" w14:textId="77777777" w:rsidR="0037300E" w:rsidRPr="00145E9B" w:rsidRDefault="0037300E" w:rsidP="0037300E">
      <w:pPr>
        <w:spacing w:after="0" w:line="240" w:lineRule="auto"/>
        <w:jc w:val="both"/>
        <w:rPr>
          <w:rFonts w:asciiTheme="majorHAnsi" w:eastAsia="Times New Roman" w:hAnsiTheme="majorHAnsi" w:cs="Times New Roman"/>
          <w:color w:val="222222"/>
          <w:sz w:val="24"/>
          <w:szCs w:val="24"/>
          <w:lang w:eastAsia="bg-BG"/>
        </w:rPr>
      </w:pPr>
      <w:r w:rsidRPr="00145E9B">
        <w:rPr>
          <w:rFonts w:asciiTheme="majorHAnsi" w:eastAsia="Times New Roman" w:hAnsiTheme="majorHAnsi" w:cs="Times New Roman"/>
          <w:color w:val="222222"/>
          <w:sz w:val="24"/>
          <w:szCs w:val="24"/>
          <w:lang w:eastAsia="bg-BG"/>
        </w:rPr>
        <w:t>1. Информация за възложителя на плана/програмата (орган или оправомощено по закон трето лице):</w:t>
      </w:r>
    </w:p>
    <w:p w14:paraId="58D5EFEF" w14:textId="7CAE62CA" w:rsidR="0037300E" w:rsidRPr="00145E9B" w:rsidRDefault="0037300E" w:rsidP="0037300E">
      <w:pPr>
        <w:spacing w:after="0" w:line="240" w:lineRule="auto"/>
        <w:jc w:val="both"/>
        <w:rPr>
          <w:rFonts w:asciiTheme="majorHAnsi" w:eastAsia="Times New Roman" w:hAnsiTheme="majorHAnsi" w:cs="Times New Roman"/>
          <w:color w:val="222222"/>
          <w:sz w:val="24"/>
          <w:szCs w:val="24"/>
          <w:lang w:eastAsia="bg-BG"/>
        </w:rPr>
      </w:pPr>
      <w:r w:rsidRPr="00145E9B">
        <w:rPr>
          <w:rFonts w:asciiTheme="majorHAnsi" w:eastAsia="Times New Roman" w:hAnsiTheme="majorHAnsi" w:cs="Times New Roman"/>
          <w:color w:val="222222"/>
          <w:sz w:val="24"/>
          <w:szCs w:val="24"/>
          <w:lang w:eastAsia="bg-BG"/>
        </w:rPr>
        <w:t xml:space="preserve">Име: </w:t>
      </w:r>
      <w:r w:rsidR="00DD5234" w:rsidRPr="00145E9B">
        <w:rPr>
          <w:rFonts w:asciiTheme="majorHAnsi" w:eastAsia="Times New Roman" w:hAnsiTheme="majorHAnsi" w:cs="Times New Roman"/>
          <w:color w:val="222222"/>
          <w:sz w:val="24"/>
          <w:szCs w:val="24"/>
          <w:lang w:eastAsia="bg-BG"/>
        </w:rPr>
        <w:t>Сдружение с нестопанска цел „Местна инициативна група Хисаря“</w:t>
      </w:r>
    </w:p>
    <w:p w14:paraId="05F0D04C" w14:textId="77777777" w:rsidR="0037300E" w:rsidRPr="00145E9B" w:rsidRDefault="0037300E" w:rsidP="0037300E">
      <w:pPr>
        <w:spacing w:after="0" w:line="240" w:lineRule="auto"/>
        <w:jc w:val="both"/>
        <w:rPr>
          <w:rFonts w:asciiTheme="majorHAnsi" w:eastAsia="Times New Roman" w:hAnsiTheme="majorHAnsi" w:cs="Times New Roman"/>
          <w:color w:val="222222"/>
          <w:sz w:val="24"/>
          <w:szCs w:val="24"/>
          <w:lang w:eastAsia="bg-BG"/>
        </w:rPr>
      </w:pPr>
      <w:r w:rsidRPr="00145E9B">
        <w:rPr>
          <w:rFonts w:asciiTheme="majorHAnsi" w:eastAsia="Times New Roman" w:hAnsiTheme="majorHAnsi" w:cs="Times New Roman"/>
          <w:color w:val="222222"/>
          <w:sz w:val="24"/>
          <w:szCs w:val="24"/>
          <w:lang w:eastAsia="bg-BG"/>
        </w:rPr>
        <w:t>2. Обща информация за предложения план/програма</w:t>
      </w:r>
    </w:p>
    <w:p w14:paraId="02739435" w14:textId="77777777" w:rsidR="0037300E" w:rsidRPr="00145E9B" w:rsidRDefault="0037300E" w:rsidP="0037300E">
      <w:pPr>
        <w:spacing w:after="0" w:line="240" w:lineRule="auto"/>
        <w:jc w:val="both"/>
        <w:rPr>
          <w:rFonts w:asciiTheme="majorHAnsi" w:eastAsia="Times New Roman" w:hAnsiTheme="majorHAnsi" w:cs="Times New Roman"/>
          <w:color w:val="222222"/>
          <w:sz w:val="24"/>
          <w:szCs w:val="24"/>
          <w:lang w:eastAsia="bg-BG"/>
        </w:rPr>
      </w:pPr>
      <w:r w:rsidRPr="00145E9B">
        <w:rPr>
          <w:rFonts w:asciiTheme="majorHAnsi" w:eastAsia="Times New Roman" w:hAnsiTheme="majorHAnsi" w:cs="Times New Roman"/>
          <w:color w:val="222222"/>
          <w:sz w:val="24"/>
          <w:szCs w:val="24"/>
          <w:lang w:eastAsia="bg-BG"/>
        </w:rPr>
        <w:t>а) Основание за изготвяне на плана/програмата - нормативен или административен акт</w:t>
      </w:r>
    </w:p>
    <w:p w14:paraId="2A8F6A2A" w14:textId="77777777" w:rsidR="00DD5234" w:rsidRPr="00145E9B" w:rsidRDefault="00DD5234" w:rsidP="00DD5234">
      <w:pPr>
        <w:widowControl w:val="0"/>
        <w:autoSpaceDE w:val="0"/>
        <w:autoSpaceDN w:val="0"/>
        <w:adjustRightInd w:val="0"/>
        <w:spacing w:before="100" w:beforeAutospacing="1" w:after="100" w:afterAutospacing="1" w:line="240" w:lineRule="auto"/>
        <w:jc w:val="both"/>
        <w:rPr>
          <w:rStyle w:val="a3"/>
          <w:rFonts w:asciiTheme="majorHAnsi" w:eastAsia="Times New Roman" w:hAnsiTheme="majorHAnsi" w:cs="Arial"/>
          <w:color w:val="auto"/>
          <w:sz w:val="24"/>
          <w:szCs w:val="24"/>
          <w:u w:val="none"/>
          <w:lang w:eastAsia="bg-BG"/>
        </w:rPr>
      </w:pPr>
      <w:r w:rsidRPr="00145E9B">
        <w:rPr>
          <w:rFonts w:asciiTheme="majorHAnsi" w:eastAsia="Times New Roman" w:hAnsiTheme="majorHAnsi" w:cs="Arial"/>
          <w:sz w:val="24"/>
          <w:szCs w:val="24"/>
          <w:lang w:eastAsia="bg-BG"/>
        </w:rPr>
        <w:t xml:space="preserve">УСЛОВИЯ ЗА КАНДИДАТСТВАНЕ за предоставяне на безвъзмездна финансова помощ по процедура № </w:t>
      </w:r>
      <w:r w:rsidRPr="00145E9B">
        <w:rPr>
          <w:rFonts w:asciiTheme="majorHAnsi" w:eastAsia="Times New Roman" w:hAnsiTheme="majorHAnsi" w:cs="Arial"/>
          <w:sz w:val="24"/>
          <w:szCs w:val="24"/>
          <w:lang w:val="en-US" w:eastAsia="bg-BG"/>
        </w:rPr>
        <w:t>BG</w:t>
      </w:r>
      <w:r w:rsidRPr="00145E9B">
        <w:rPr>
          <w:rFonts w:asciiTheme="majorHAnsi" w:eastAsia="Times New Roman" w:hAnsiTheme="majorHAnsi" w:cs="Arial"/>
          <w:sz w:val="24"/>
          <w:szCs w:val="24"/>
          <w:lang w:eastAsia="bg-BG"/>
        </w:rPr>
        <w:t>06</w:t>
      </w:r>
      <w:r w:rsidRPr="00145E9B">
        <w:rPr>
          <w:rFonts w:asciiTheme="majorHAnsi" w:eastAsia="Times New Roman" w:hAnsiTheme="majorHAnsi" w:cs="Arial"/>
          <w:sz w:val="24"/>
          <w:szCs w:val="24"/>
          <w:lang w:val="en-US" w:eastAsia="bg-BG"/>
        </w:rPr>
        <w:t>AFSP</w:t>
      </w:r>
      <w:r w:rsidRPr="00145E9B">
        <w:rPr>
          <w:rFonts w:asciiTheme="majorHAnsi" w:eastAsia="Times New Roman" w:hAnsiTheme="majorHAnsi" w:cs="Arial"/>
          <w:sz w:val="24"/>
          <w:szCs w:val="24"/>
          <w:lang w:eastAsia="bg-BG"/>
        </w:rPr>
        <w:t xml:space="preserve">001-01.001 по интервенция „Изпълнение на операции, включително дейности за сътрудничество и тяхната подготовка, избрани в рамките на стратегията за местно развитие“ от Стратегическия план за развитие на земеделието и селските райони на Република България за периода 2023 – 2027 г. налични на адрес: </w:t>
      </w:r>
      <w:r w:rsidRPr="00145E9B">
        <w:rPr>
          <w:rStyle w:val="a3"/>
          <w:rFonts w:asciiTheme="majorHAnsi" w:hAnsiTheme="majorHAnsi" w:cs="Arial"/>
          <w:sz w:val="24"/>
          <w:szCs w:val="24"/>
        </w:rPr>
        <w:t>https://eumis2020.government.bg/bg/s/Procedure/Info/675b2caf-ddcb-4716-809f-b986a404a006</w:t>
      </w:r>
    </w:p>
    <w:p w14:paraId="5AE8A718" w14:textId="77777777" w:rsidR="00DD5234" w:rsidRPr="00145E9B" w:rsidRDefault="00DD5234" w:rsidP="00DD5234">
      <w:pPr>
        <w:widowControl w:val="0"/>
        <w:autoSpaceDE w:val="0"/>
        <w:autoSpaceDN w:val="0"/>
        <w:adjustRightInd w:val="0"/>
        <w:spacing w:before="100" w:beforeAutospacing="1" w:after="100" w:afterAutospacing="1" w:line="240" w:lineRule="auto"/>
        <w:jc w:val="both"/>
        <w:rPr>
          <w:rStyle w:val="a3"/>
          <w:rFonts w:asciiTheme="majorHAnsi" w:hAnsiTheme="majorHAnsi" w:cs="Arial"/>
          <w:sz w:val="24"/>
          <w:szCs w:val="24"/>
        </w:rPr>
      </w:pPr>
      <w:r w:rsidRPr="00145E9B">
        <w:rPr>
          <w:rFonts w:asciiTheme="majorHAnsi" w:eastAsia="Times New Roman" w:hAnsiTheme="majorHAnsi" w:cs="Arial"/>
          <w:sz w:val="24"/>
          <w:szCs w:val="24"/>
          <w:lang w:eastAsia="bg-BG"/>
        </w:rPr>
        <w:t xml:space="preserve">2. Указания към Местните инициативни групи за изискванията към стратегиите за Водено от общностите местно развитие в частта на Стратегическия план за развитие на земеделието и селските райони за периода 2023 – 2027 г. налични на адрес: </w:t>
      </w:r>
      <w:r w:rsidRPr="00145E9B">
        <w:rPr>
          <w:rStyle w:val="a3"/>
          <w:rFonts w:asciiTheme="majorHAnsi" w:hAnsiTheme="majorHAnsi" w:cs="Arial"/>
          <w:sz w:val="24"/>
          <w:szCs w:val="24"/>
        </w:rPr>
        <w:t xml:space="preserve">https://www.mzh.government.bg/media/filer_public/2023/07/20/ukazaniia_razrabotvane_na_svomr_period_2023-2027_.pdf </w:t>
      </w:r>
    </w:p>
    <w:p w14:paraId="2A5F3BC1" w14:textId="77777777" w:rsidR="00DD5234" w:rsidRPr="00145E9B" w:rsidRDefault="00DD5234" w:rsidP="00DD5234">
      <w:pPr>
        <w:widowControl w:val="0"/>
        <w:autoSpaceDE w:val="0"/>
        <w:autoSpaceDN w:val="0"/>
        <w:adjustRightInd w:val="0"/>
        <w:spacing w:before="100" w:beforeAutospacing="1" w:after="100" w:afterAutospacing="1" w:line="240" w:lineRule="auto"/>
        <w:jc w:val="both"/>
        <w:rPr>
          <w:rStyle w:val="a3"/>
          <w:rFonts w:asciiTheme="majorHAnsi" w:hAnsiTheme="majorHAnsi" w:cs="Arial"/>
          <w:sz w:val="24"/>
          <w:szCs w:val="24"/>
        </w:rPr>
      </w:pPr>
      <w:r w:rsidRPr="00145E9B">
        <w:rPr>
          <w:rFonts w:asciiTheme="majorHAnsi" w:eastAsia="Times New Roman" w:hAnsiTheme="majorHAnsi" w:cs="Arial"/>
          <w:sz w:val="24"/>
          <w:szCs w:val="24"/>
          <w:lang w:eastAsia="bg-BG"/>
        </w:rPr>
        <w:t xml:space="preserve">3. Стратегическия план за развитие на земеделието и селските райони за периода 2023 – 2027 г. наличен на адрес: </w:t>
      </w:r>
      <w:hyperlink r:id="rId5" w:history="1">
        <w:r w:rsidRPr="00145E9B">
          <w:rPr>
            <w:rStyle w:val="a3"/>
            <w:rFonts w:asciiTheme="majorHAnsi" w:hAnsiTheme="majorHAnsi" w:cs="Arial"/>
            <w:sz w:val="24"/>
            <w:szCs w:val="24"/>
          </w:rPr>
          <w:t>https://www.sp2023.bg/index.php/bg/sprzsr-bg/za-sprzsr</w:t>
        </w:r>
      </w:hyperlink>
    </w:p>
    <w:p w14:paraId="22843481" w14:textId="77777777" w:rsidR="00DD5234" w:rsidRPr="00145E9B" w:rsidRDefault="00DD5234" w:rsidP="00DD5234">
      <w:pPr>
        <w:jc w:val="both"/>
        <w:rPr>
          <w:rFonts w:asciiTheme="majorHAnsi" w:eastAsia="Times New Roman" w:hAnsiTheme="majorHAnsi" w:cs="Arial"/>
          <w:sz w:val="24"/>
          <w:szCs w:val="24"/>
          <w:lang w:eastAsia="bg-BG"/>
        </w:rPr>
      </w:pPr>
      <w:r w:rsidRPr="00145E9B">
        <w:rPr>
          <w:rFonts w:asciiTheme="majorHAnsi" w:eastAsia="Times New Roman" w:hAnsiTheme="majorHAnsi" w:cs="Arial"/>
          <w:sz w:val="24"/>
          <w:szCs w:val="24"/>
          <w:lang w:eastAsia="bg-BG"/>
        </w:rPr>
        <w:t xml:space="preserve">4.РЕГЛАМЕНТ(ЕС) 2021/2115 НА ЕВРОПЕЙСКИЯ ПАРЛАМЕНТ И НА СЪВЕТА от 2 декември 2021 година за установяване на правила за подпомагане за стратегическите планове, които трябва да бъдат изготвени от държавите членки по линия на общата селскостопанска политика (стратегически планове по ОСП) и финансирани от Европейския фонд за гарантиране на земеделието (ЕФГЗ) и от Европейския земеделски фонд за развитие на </w:t>
      </w:r>
      <w:r w:rsidRPr="00145E9B">
        <w:rPr>
          <w:rFonts w:asciiTheme="majorHAnsi" w:eastAsia="Times New Roman" w:hAnsiTheme="majorHAnsi" w:cs="Arial"/>
          <w:sz w:val="24"/>
          <w:szCs w:val="24"/>
          <w:lang w:eastAsia="bg-BG"/>
        </w:rPr>
        <w:lastRenderedPageBreak/>
        <w:t>селските райони (ЕЗФРСР), и за отмяна на регламенти (ЕС) № 1305/2013 и (ЕС) № 1307/2013</w:t>
      </w:r>
    </w:p>
    <w:p w14:paraId="44DF0717" w14:textId="77777777" w:rsidR="00DD5234" w:rsidRPr="00145E9B" w:rsidRDefault="00DD5234" w:rsidP="00DD5234">
      <w:pPr>
        <w:jc w:val="both"/>
        <w:rPr>
          <w:rFonts w:asciiTheme="majorHAnsi" w:eastAsia="Times New Roman" w:hAnsiTheme="majorHAnsi" w:cs="Arial"/>
          <w:sz w:val="24"/>
          <w:szCs w:val="24"/>
          <w:lang w:eastAsia="bg-BG"/>
        </w:rPr>
      </w:pPr>
      <w:r w:rsidRPr="00145E9B">
        <w:rPr>
          <w:rFonts w:asciiTheme="majorHAnsi" w:eastAsia="Times New Roman" w:hAnsiTheme="majorHAnsi" w:cs="Arial"/>
          <w:sz w:val="24"/>
          <w:szCs w:val="24"/>
          <w:lang w:eastAsia="bg-BG"/>
        </w:rPr>
        <w:t>5.</w:t>
      </w:r>
      <w:r w:rsidRPr="00145E9B">
        <w:rPr>
          <w:rFonts w:asciiTheme="majorHAnsi" w:hAnsiTheme="majorHAnsi" w:cs="Tahoma"/>
          <w:sz w:val="24"/>
          <w:szCs w:val="24"/>
        </w:rPr>
        <w:t xml:space="preserve"> </w:t>
      </w:r>
      <w:r w:rsidRPr="00145E9B">
        <w:rPr>
          <w:rFonts w:asciiTheme="majorHAnsi" w:eastAsia="Times New Roman" w:hAnsiTheme="majorHAnsi" w:cs="Arial"/>
          <w:sz w:val="24"/>
          <w:szCs w:val="24"/>
          <w:lang w:eastAsia="bg-BG"/>
        </w:rPr>
        <w:t>ПОСТАНОВЛЕНИЕ № 494 на МС от 30.12.2024 г. за определяне на правила за прилагане на подхода „Водено от общностите местно развитие" за периода 2021 - 2027 г.</w:t>
      </w:r>
    </w:p>
    <w:p w14:paraId="3CFBD2F0" w14:textId="77777777" w:rsidR="0037300E" w:rsidRPr="00145E9B" w:rsidRDefault="0037300E" w:rsidP="0037300E">
      <w:pPr>
        <w:spacing w:after="0" w:line="240" w:lineRule="auto"/>
        <w:jc w:val="both"/>
        <w:rPr>
          <w:rFonts w:asciiTheme="majorHAnsi" w:eastAsia="Times New Roman" w:hAnsiTheme="majorHAnsi" w:cs="Times New Roman"/>
          <w:color w:val="222222"/>
          <w:sz w:val="24"/>
          <w:szCs w:val="24"/>
          <w:lang w:eastAsia="bg-BG"/>
        </w:rPr>
      </w:pPr>
      <w:r w:rsidRPr="00145E9B">
        <w:rPr>
          <w:rFonts w:asciiTheme="majorHAnsi" w:eastAsia="Times New Roman" w:hAnsiTheme="majorHAnsi" w:cs="Times New Roman"/>
          <w:color w:val="222222"/>
          <w:sz w:val="24"/>
          <w:szCs w:val="24"/>
          <w:lang w:eastAsia="bg-BG"/>
        </w:rPr>
        <w:t>б) Период на действие и етапи на изпълнение на плана/програмата</w:t>
      </w:r>
    </w:p>
    <w:p w14:paraId="28169975" w14:textId="77777777" w:rsidR="00DD5234" w:rsidRPr="00145E9B" w:rsidRDefault="00DD5234" w:rsidP="00DD5234">
      <w:pPr>
        <w:pStyle w:val="Default"/>
        <w:jc w:val="both"/>
        <w:rPr>
          <w:rFonts w:asciiTheme="majorHAnsi" w:eastAsia="Times New Roman" w:hAnsiTheme="majorHAnsi" w:cs="Arial"/>
          <w:color w:val="auto"/>
          <w:lang w:eastAsia="bg-BG"/>
        </w:rPr>
      </w:pPr>
      <w:r w:rsidRPr="00145E9B">
        <w:rPr>
          <w:rFonts w:asciiTheme="majorHAnsi" w:eastAsia="Times New Roman" w:hAnsiTheme="majorHAnsi" w:cs="Arial"/>
          <w:color w:val="auto"/>
          <w:lang w:eastAsia="bg-BG"/>
        </w:rPr>
        <w:t xml:space="preserve">Стратегията за ВОМР се разработва за период до 31 декември 2027 г. </w:t>
      </w:r>
    </w:p>
    <w:p w14:paraId="0609F327" w14:textId="77777777" w:rsidR="00DD5234" w:rsidRPr="00145E9B" w:rsidRDefault="00DD5234" w:rsidP="00DD5234">
      <w:pPr>
        <w:pStyle w:val="Default"/>
        <w:jc w:val="both"/>
        <w:rPr>
          <w:rFonts w:asciiTheme="majorHAnsi" w:eastAsia="Times New Roman" w:hAnsiTheme="majorHAnsi" w:cs="Arial"/>
          <w:color w:val="auto"/>
          <w:lang w:eastAsia="bg-BG"/>
        </w:rPr>
      </w:pPr>
      <w:r w:rsidRPr="00145E9B">
        <w:rPr>
          <w:rFonts w:asciiTheme="majorHAnsi" w:eastAsia="Times New Roman" w:hAnsiTheme="majorHAnsi" w:cs="Arial"/>
          <w:color w:val="auto"/>
          <w:lang w:eastAsia="bg-BG"/>
        </w:rPr>
        <w:t>Крайният срок за изпълнение на дейностите и извършване на разходите за управление, мониторинг и оценка на стратегията и нейното популяризиране е 30 септември 2029 г.</w:t>
      </w:r>
    </w:p>
    <w:p w14:paraId="46C1C3E2" w14:textId="77777777" w:rsidR="00DD5234" w:rsidRPr="00145E9B" w:rsidRDefault="00DD5234" w:rsidP="00DD5234">
      <w:pPr>
        <w:pStyle w:val="Default"/>
        <w:jc w:val="both"/>
        <w:rPr>
          <w:rFonts w:asciiTheme="majorHAnsi" w:eastAsia="Times New Roman" w:hAnsiTheme="majorHAnsi" w:cs="Arial"/>
          <w:color w:val="auto"/>
          <w:lang w:eastAsia="bg-BG"/>
        </w:rPr>
      </w:pPr>
      <w:r w:rsidRPr="00145E9B">
        <w:rPr>
          <w:rFonts w:asciiTheme="majorHAnsi" w:eastAsia="Times New Roman" w:hAnsiTheme="majorHAnsi" w:cs="Arial"/>
          <w:lang w:eastAsia="bg-BG"/>
        </w:rPr>
        <w:t>Крайният срок за изпълнение на дейностите по проектите към стратегия за ВОМР е не по-късно от 15 септември 2029 г.</w:t>
      </w:r>
    </w:p>
    <w:p w14:paraId="027244F8" w14:textId="77777777" w:rsidR="00DD5234" w:rsidRPr="00145E9B" w:rsidRDefault="00DD5234" w:rsidP="0037300E">
      <w:pPr>
        <w:spacing w:after="0" w:line="240" w:lineRule="auto"/>
        <w:jc w:val="both"/>
        <w:rPr>
          <w:rFonts w:asciiTheme="majorHAnsi" w:eastAsia="Times New Roman" w:hAnsiTheme="majorHAnsi" w:cs="Times New Roman"/>
          <w:color w:val="222222"/>
          <w:sz w:val="24"/>
          <w:szCs w:val="24"/>
          <w:lang w:eastAsia="bg-BG"/>
        </w:rPr>
      </w:pPr>
    </w:p>
    <w:p w14:paraId="036540B9" w14:textId="12848F18" w:rsidR="0037300E" w:rsidRPr="00145E9B" w:rsidRDefault="0037300E" w:rsidP="0037300E">
      <w:pPr>
        <w:spacing w:after="0" w:line="240" w:lineRule="auto"/>
        <w:jc w:val="both"/>
        <w:rPr>
          <w:rFonts w:asciiTheme="majorHAnsi" w:eastAsia="Times New Roman" w:hAnsiTheme="majorHAnsi" w:cs="Times New Roman"/>
          <w:color w:val="222222"/>
          <w:sz w:val="24"/>
          <w:szCs w:val="24"/>
          <w:lang w:eastAsia="bg-BG"/>
        </w:rPr>
      </w:pPr>
      <w:r w:rsidRPr="00145E9B">
        <w:rPr>
          <w:rFonts w:asciiTheme="majorHAnsi" w:eastAsia="Times New Roman" w:hAnsiTheme="majorHAnsi" w:cs="Times New Roman"/>
          <w:color w:val="222222"/>
          <w:sz w:val="24"/>
          <w:szCs w:val="24"/>
          <w:lang w:eastAsia="bg-BG"/>
        </w:rPr>
        <w:t>в) Териториален обхват (транснационален, национален, регионален, областен, общински, за по-малки територии) с посочване на съответните области и общини</w:t>
      </w:r>
    </w:p>
    <w:p w14:paraId="7C508806" w14:textId="77777777" w:rsidR="00145E9B" w:rsidRPr="00145E9B" w:rsidRDefault="00145E9B" w:rsidP="0037300E">
      <w:pPr>
        <w:spacing w:after="0" w:line="240" w:lineRule="auto"/>
        <w:jc w:val="both"/>
        <w:rPr>
          <w:rFonts w:asciiTheme="majorHAnsi" w:hAnsiTheme="majorHAnsi" w:cs="Times New Roman"/>
          <w:sz w:val="24"/>
          <w:szCs w:val="24"/>
          <w:shd w:val="clear" w:color="auto" w:fill="FEFEFE"/>
        </w:rPr>
      </w:pPr>
      <w:r w:rsidRPr="00145E9B">
        <w:rPr>
          <w:rFonts w:asciiTheme="majorHAnsi" w:hAnsiTheme="majorHAnsi" w:cs="Times New Roman"/>
          <w:sz w:val="24"/>
          <w:szCs w:val="24"/>
          <w:shd w:val="clear" w:color="auto" w:fill="FEFEFE"/>
        </w:rPr>
        <w:t>Населените места включени в МИГ Хисаря са както следва: гр. Хисаря, с. Беловица, с. Красново, с. Кръстевич, с. Мало Крушево, с. Михилци, с. Мътеница, с. Ново Железаре, с. Паничери, с. Старо Железаре, с. Старосел, с. Черничево</w:t>
      </w:r>
    </w:p>
    <w:p w14:paraId="057EE7E8" w14:textId="77777777" w:rsidR="00145E9B" w:rsidRPr="00145E9B" w:rsidRDefault="00145E9B" w:rsidP="0037300E">
      <w:pPr>
        <w:spacing w:after="0" w:line="240" w:lineRule="auto"/>
        <w:jc w:val="both"/>
        <w:rPr>
          <w:rFonts w:asciiTheme="majorHAnsi" w:hAnsiTheme="majorHAnsi" w:cs="Times New Roman"/>
          <w:sz w:val="24"/>
          <w:szCs w:val="24"/>
          <w:shd w:val="clear" w:color="auto" w:fill="FEFEFE"/>
        </w:rPr>
      </w:pPr>
    </w:p>
    <w:p w14:paraId="2597707D" w14:textId="387F44CB" w:rsidR="0037300E" w:rsidRPr="00145E9B" w:rsidRDefault="0037300E" w:rsidP="0037300E">
      <w:pPr>
        <w:spacing w:after="0" w:line="240" w:lineRule="auto"/>
        <w:jc w:val="both"/>
        <w:rPr>
          <w:rFonts w:asciiTheme="majorHAnsi" w:eastAsia="Times New Roman" w:hAnsiTheme="majorHAnsi" w:cs="Times New Roman"/>
          <w:color w:val="222222"/>
          <w:sz w:val="24"/>
          <w:szCs w:val="24"/>
          <w:lang w:eastAsia="bg-BG"/>
        </w:rPr>
      </w:pPr>
      <w:r w:rsidRPr="00145E9B">
        <w:rPr>
          <w:rFonts w:asciiTheme="majorHAnsi" w:eastAsia="Times New Roman" w:hAnsiTheme="majorHAnsi" w:cs="Times New Roman"/>
          <w:color w:val="222222"/>
          <w:sz w:val="24"/>
          <w:szCs w:val="24"/>
          <w:lang w:eastAsia="bg-BG"/>
        </w:rPr>
        <w:t>г) Засегнати елементи от Националната екологична мрежа (НЕМ)</w:t>
      </w:r>
    </w:p>
    <w:p w14:paraId="7ED72C24" w14:textId="77777777" w:rsidR="00DD5234" w:rsidRPr="00145E9B" w:rsidRDefault="00DD5234" w:rsidP="00DD5234">
      <w:pPr>
        <w:pStyle w:val="a5"/>
        <w:spacing w:line="360" w:lineRule="auto"/>
        <w:jc w:val="both"/>
        <w:rPr>
          <w:rFonts w:asciiTheme="majorHAnsi" w:hAnsiTheme="majorHAnsi"/>
          <w:sz w:val="24"/>
          <w:szCs w:val="24"/>
        </w:rPr>
      </w:pPr>
      <w:r w:rsidRPr="00145E9B">
        <w:rPr>
          <w:rFonts w:asciiTheme="majorHAnsi" w:hAnsiTheme="majorHAnsi"/>
          <w:sz w:val="24"/>
          <w:szCs w:val="24"/>
        </w:rPr>
        <w:t>Общата площ на елементите от Националната екологична мрежа, включваща защитени природни територии, обявени или приведени в съответствие с изискванията на Закона за защитените територии и защитени зони, изграждани по общоевропейската програма НАТУРА 2000 и в съответствие със Закона за биологичното разнообразие за Община Хисаря е 33 844.09 ха.</w:t>
      </w:r>
    </w:p>
    <w:p w14:paraId="1FC55239" w14:textId="77777777" w:rsidR="00DD5234" w:rsidRPr="00145E9B" w:rsidRDefault="00DD5234" w:rsidP="00DD5234">
      <w:pPr>
        <w:pStyle w:val="a5"/>
        <w:spacing w:line="360" w:lineRule="auto"/>
        <w:jc w:val="both"/>
        <w:rPr>
          <w:rFonts w:asciiTheme="majorHAnsi" w:hAnsiTheme="majorHAnsi"/>
          <w:sz w:val="24"/>
          <w:szCs w:val="24"/>
        </w:rPr>
      </w:pPr>
      <w:r w:rsidRPr="00145E9B">
        <w:rPr>
          <w:rFonts w:asciiTheme="majorHAnsi" w:hAnsiTheme="majorHAnsi"/>
          <w:sz w:val="24"/>
          <w:szCs w:val="24"/>
        </w:rPr>
        <w:t>В общината са обявени 4 защитени местности по Закона за защитените територии:</w:t>
      </w:r>
    </w:p>
    <w:p w14:paraId="6FF012F8" w14:textId="77777777" w:rsidR="00DD5234" w:rsidRPr="00145E9B" w:rsidRDefault="00DD5234" w:rsidP="00DD5234">
      <w:pPr>
        <w:pStyle w:val="a5"/>
        <w:spacing w:line="360" w:lineRule="auto"/>
        <w:ind w:left="380" w:hanging="380"/>
        <w:jc w:val="both"/>
        <w:rPr>
          <w:rFonts w:asciiTheme="majorHAnsi" w:hAnsiTheme="majorHAnsi"/>
          <w:sz w:val="24"/>
          <w:szCs w:val="24"/>
        </w:rPr>
      </w:pPr>
      <w:r w:rsidRPr="00145E9B">
        <w:rPr>
          <w:rFonts w:asciiTheme="majorHAnsi" w:eastAsia="Arial Narrow" w:hAnsiTheme="majorHAnsi"/>
          <w:sz w:val="24"/>
          <w:szCs w:val="24"/>
        </w:rPr>
        <w:t xml:space="preserve">- </w:t>
      </w:r>
      <w:r w:rsidRPr="00145E9B">
        <w:rPr>
          <w:rFonts w:asciiTheme="majorHAnsi" w:hAnsiTheme="majorHAnsi"/>
          <w:b/>
          <w:bCs/>
          <w:sz w:val="24"/>
          <w:szCs w:val="24"/>
        </w:rPr>
        <w:t xml:space="preserve">Защитена местност </w:t>
      </w:r>
      <w:r w:rsidRPr="00145E9B">
        <w:rPr>
          <w:rFonts w:asciiTheme="majorHAnsi" w:hAnsiTheme="majorHAnsi"/>
          <w:b/>
          <w:bCs/>
          <w:i/>
          <w:iCs/>
          <w:sz w:val="24"/>
          <w:szCs w:val="24"/>
        </w:rPr>
        <w:t>„</w:t>
      </w:r>
      <w:r w:rsidRPr="00145E9B">
        <w:rPr>
          <w:rFonts w:asciiTheme="majorHAnsi" w:hAnsiTheme="majorHAnsi"/>
          <w:b/>
          <w:bCs/>
          <w:sz w:val="24"/>
          <w:szCs w:val="24"/>
        </w:rPr>
        <w:t>БАРИКАДИТЕ</w:t>
      </w:r>
      <w:r w:rsidRPr="00145E9B">
        <w:rPr>
          <w:rFonts w:asciiTheme="majorHAnsi" w:hAnsiTheme="majorHAnsi"/>
          <w:sz w:val="24"/>
          <w:szCs w:val="24"/>
        </w:rPr>
        <w:t>” е обявена за „Историческо място” по Закона за защита на природата със Заповед № 77 от 03.02.1986 г. на КОПС, публ. В ДВ бр. 77/1986 г. Прекатегоризация по ЗЗТ е извършена със Заповед № РД-332 от 31.03.2003 г. На МОС, обн. бр. 42/2003 на Държавен вестник . Заема площ от ха в землището село Старосел, Община Хисаря, Област Пловдив и град Копривщица, област София. Опазва вековна букова гора и характерен ландшафт с широколистни горски и ливадни съобщества. Стопанисва се и се охранява от ДГС - Хисар и ДГС - Копривщица, под контрола на РИОСВ - Пловдив и РИОСВ - София.</w:t>
      </w:r>
    </w:p>
    <w:p w14:paraId="6814B21F" w14:textId="77777777" w:rsidR="00DD5234" w:rsidRPr="00145E9B" w:rsidRDefault="00DD5234" w:rsidP="00DD5234">
      <w:pPr>
        <w:pStyle w:val="a5"/>
        <w:tabs>
          <w:tab w:val="left" w:pos="360"/>
        </w:tabs>
        <w:spacing w:line="360" w:lineRule="auto"/>
        <w:jc w:val="both"/>
        <w:rPr>
          <w:rFonts w:asciiTheme="majorHAnsi" w:hAnsiTheme="majorHAnsi"/>
          <w:sz w:val="24"/>
          <w:szCs w:val="24"/>
        </w:rPr>
      </w:pPr>
      <w:bookmarkStart w:id="0" w:name="bookmark434"/>
      <w:bookmarkEnd w:id="0"/>
      <w:r w:rsidRPr="00145E9B">
        <w:rPr>
          <w:rFonts w:asciiTheme="majorHAnsi" w:hAnsiTheme="majorHAnsi"/>
          <w:b/>
          <w:bCs/>
          <w:sz w:val="24"/>
          <w:szCs w:val="24"/>
        </w:rPr>
        <w:t xml:space="preserve">- Защитена местност </w:t>
      </w:r>
      <w:r w:rsidRPr="00145E9B">
        <w:rPr>
          <w:rFonts w:asciiTheme="majorHAnsi" w:hAnsiTheme="majorHAnsi"/>
          <w:b/>
          <w:bCs/>
          <w:i/>
          <w:iCs/>
          <w:sz w:val="24"/>
          <w:szCs w:val="24"/>
        </w:rPr>
        <w:t>„</w:t>
      </w:r>
      <w:r w:rsidRPr="00145E9B">
        <w:rPr>
          <w:rFonts w:asciiTheme="majorHAnsi" w:hAnsiTheme="majorHAnsi"/>
          <w:b/>
          <w:bCs/>
          <w:sz w:val="24"/>
          <w:szCs w:val="24"/>
        </w:rPr>
        <w:t>ГЕРЕНА</w:t>
      </w:r>
      <w:r w:rsidRPr="00145E9B">
        <w:rPr>
          <w:rFonts w:asciiTheme="majorHAnsi" w:hAnsiTheme="majorHAnsi"/>
          <w:sz w:val="24"/>
          <w:szCs w:val="24"/>
        </w:rPr>
        <w:t xml:space="preserve">” е със Заповед № РД-933 от 28.12.2007 г на МОСВ, публ. в ДВ бр. 8/2008 г. Заема площ от 1.08 ха в землището на село Паничери, Община Хисаря, Област Пловдив. Опазва местообитание на защитен животински вид - гнездова колония на сива чапла </w:t>
      </w:r>
      <w:r w:rsidRPr="00145E9B">
        <w:rPr>
          <w:rFonts w:asciiTheme="majorHAnsi" w:hAnsiTheme="majorHAnsi"/>
          <w:i/>
          <w:iCs/>
          <w:sz w:val="24"/>
          <w:szCs w:val="24"/>
        </w:rPr>
        <w:t>(Ardea cinerea),</w:t>
      </w:r>
      <w:r w:rsidRPr="00145E9B">
        <w:rPr>
          <w:rFonts w:asciiTheme="majorHAnsi" w:hAnsiTheme="majorHAnsi"/>
          <w:sz w:val="24"/>
          <w:szCs w:val="24"/>
        </w:rPr>
        <w:t xml:space="preserve"> изградена в тополово насаждение, намиращо се в сервитута на напоителен канал. Сивата чапла, заради чиято гнездова колония е обявена защитената местност, е защитен животински вид съгласно Закона за биологичното разнообразие. Интерес представлява и гнездовата колония на испанско врабче </w:t>
      </w:r>
      <w:r w:rsidRPr="00145E9B">
        <w:rPr>
          <w:rFonts w:asciiTheme="majorHAnsi" w:hAnsiTheme="majorHAnsi"/>
          <w:i/>
          <w:iCs/>
          <w:sz w:val="24"/>
          <w:szCs w:val="24"/>
        </w:rPr>
        <w:t>(Passer hispaniolensis'),</w:t>
      </w:r>
      <w:r w:rsidRPr="00145E9B">
        <w:rPr>
          <w:rFonts w:asciiTheme="majorHAnsi" w:hAnsiTheme="majorHAnsi"/>
          <w:sz w:val="24"/>
          <w:szCs w:val="24"/>
        </w:rPr>
        <w:t xml:space="preserve"> също защитен вид, изградена между гнездата на чаплите.</w:t>
      </w:r>
    </w:p>
    <w:p w14:paraId="7D023D2E" w14:textId="77777777" w:rsidR="00DD5234" w:rsidRPr="00145E9B" w:rsidRDefault="00DD5234" w:rsidP="00DD5234">
      <w:pPr>
        <w:pStyle w:val="a5"/>
        <w:tabs>
          <w:tab w:val="left" w:pos="360"/>
        </w:tabs>
        <w:spacing w:line="360" w:lineRule="auto"/>
        <w:jc w:val="both"/>
        <w:rPr>
          <w:rFonts w:asciiTheme="majorHAnsi" w:hAnsiTheme="majorHAnsi"/>
          <w:sz w:val="24"/>
          <w:szCs w:val="24"/>
        </w:rPr>
      </w:pPr>
      <w:bookmarkStart w:id="1" w:name="bookmark435"/>
      <w:bookmarkEnd w:id="1"/>
      <w:r w:rsidRPr="00145E9B">
        <w:rPr>
          <w:rFonts w:asciiTheme="majorHAnsi" w:hAnsiTheme="majorHAnsi"/>
          <w:b/>
          <w:bCs/>
          <w:sz w:val="24"/>
          <w:szCs w:val="24"/>
        </w:rPr>
        <w:t xml:space="preserve">- Защитена местност </w:t>
      </w:r>
      <w:r w:rsidRPr="00145E9B">
        <w:rPr>
          <w:rFonts w:asciiTheme="majorHAnsi" w:hAnsiTheme="majorHAnsi"/>
          <w:b/>
          <w:bCs/>
          <w:i/>
          <w:iCs/>
          <w:sz w:val="24"/>
          <w:szCs w:val="24"/>
        </w:rPr>
        <w:t>„</w:t>
      </w:r>
      <w:r w:rsidRPr="00145E9B">
        <w:rPr>
          <w:rFonts w:asciiTheme="majorHAnsi" w:hAnsiTheme="majorHAnsi"/>
          <w:b/>
          <w:bCs/>
          <w:sz w:val="24"/>
          <w:szCs w:val="24"/>
        </w:rPr>
        <w:t>ДЪБИТЕ-КОНСКА ПОЛЯНА</w:t>
      </w:r>
      <w:r w:rsidRPr="00145E9B">
        <w:rPr>
          <w:rFonts w:asciiTheme="majorHAnsi" w:hAnsiTheme="majorHAnsi"/>
          <w:sz w:val="24"/>
          <w:szCs w:val="24"/>
        </w:rPr>
        <w:t xml:space="preserve">” е обявена със Заповед № 4526 от </w:t>
      </w:r>
      <w:r w:rsidRPr="00145E9B">
        <w:rPr>
          <w:rFonts w:asciiTheme="majorHAnsi" w:hAnsiTheme="majorHAnsi"/>
          <w:sz w:val="24"/>
          <w:szCs w:val="24"/>
        </w:rPr>
        <w:lastRenderedPageBreak/>
        <w:t xml:space="preserve">17.11.1975 г.на МГОПС, публ. В ДВ бр. 98/1975 г. Заема площ от 292.4 ха в землището село Кръстевич, Община Хисаря, Област Пловдив. Опазва естествена дъбово-букова гора, с наличие на голям брой вековни дървета. Охранява се и стопанисва от Държавно горско стопанство. Хисар под контрола на РИОСВ-Пловдив. Доминиращи представители на херпетофауната са голямата крастава жаба </w:t>
      </w:r>
      <w:r w:rsidRPr="00145E9B">
        <w:rPr>
          <w:rFonts w:asciiTheme="majorHAnsi" w:hAnsiTheme="majorHAnsi"/>
          <w:i/>
          <w:iCs/>
          <w:sz w:val="24"/>
          <w:szCs w:val="24"/>
        </w:rPr>
        <w:t>(Bufo bufo)</w:t>
      </w:r>
      <w:r w:rsidRPr="00145E9B">
        <w:rPr>
          <w:rFonts w:asciiTheme="majorHAnsi" w:hAnsiTheme="majorHAnsi"/>
          <w:sz w:val="24"/>
          <w:szCs w:val="24"/>
        </w:rPr>
        <w:t xml:space="preserve"> и зеленият гущер </w:t>
      </w:r>
      <w:r w:rsidRPr="00145E9B">
        <w:rPr>
          <w:rFonts w:asciiTheme="majorHAnsi" w:hAnsiTheme="majorHAnsi"/>
          <w:i/>
          <w:iCs/>
          <w:sz w:val="24"/>
          <w:szCs w:val="24"/>
        </w:rPr>
        <w:t>(Lacerta viridis)</w:t>
      </w:r>
      <w:r w:rsidRPr="00145E9B">
        <w:rPr>
          <w:rFonts w:asciiTheme="majorHAnsi" w:hAnsiTheme="majorHAnsi"/>
          <w:sz w:val="24"/>
          <w:szCs w:val="24"/>
        </w:rPr>
        <w:t xml:space="preserve"> От установените 30 вида гнездящи птици най- често се срещат обикновена чинка </w:t>
      </w:r>
      <w:r w:rsidRPr="00145E9B">
        <w:rPr>
          <w:rFonts w:asciiTheme="majorHAnsi" w:hAnsiTheme="majorHAnsi"/>
          <w:i/>
          <w:iCs/>
          <w:sz w:val="24"/>
          <w:szCs w:val="24"/>
        </w:rPr>
        <w:t>(Fringila coelebs),</w:t>
      </w:r>
      <w:r w:rsidRPr="00145E9B">
        <w:rPr>
          <w:rFonts w:asciiTheme="majorHAnsi" w:hAnsiTheme="majorHAnsi"/>
          <w:sz w:val="24"/>
          <w:szCs w:val="24"/>
        </w:rPr>
        <w:t xml:space="preserve"> кос </w:t>
      </w:r>
      <w:r w:rsidRPr="00145E9B">
        <w:rPr>
          <w:rFonts w:asciiTheme="majorHAnsi" w:hAnsiTheme="majorHAnsi"/>
          <w:i/>
          <w:iCs/>
          <w:sz w:val="24"/>
          <w:szCs w:val="24"/>
        </w:rPr>
        <w:t>(Turdus merula),</w:t>
      </w:r>
      <w:r w:rsidRPr="00145E9B">
        <w:rPr>
          <w:rFonts w:asciiTheme="majorHAnsi" w:hAnsiTheme="majorHAnsi"/>
          <w:sz w:val="24"/>
          <w:szCs w:val="24"/>
        </w:rPr>
        <w:t xml:space="preserve"> червеношийка </w:t>
      </w:r>
      <w:r w:rsidRPr="00145E9B">
        <w:rPr>
          <w:rFonts w:asciiTheme="majorHAnsi" w:hAnsiTheme="majorHAnsi"/>
          <w:i/>
          <w:iCs/>
          <w:sz w:val="24"/>
          <w:szCs w:val="24"/>
        </w:rPr>
        <w:t xml:space="preserve">(Erithacus rubecula), </w:t>
      </w:r>
      <w:r w:rsidRPr="00145E9B">
        <w:rPr>
          <w:rFonts w:asciiTheme="majorHAnsi" w:hAnsiTheme="majorHAnsi"/>
          <w:sz w:val="24"/>
          <w:szCs w:val="24"/>
        </w:rPr>
        <w:t>голям синигер (</w:t>
      </w:r>
      <w:r w:rsidRPr="00145E9B">
        <w:rPr>
          <w:rFonts w:asciiTheme="majorHAnsi" w:hAnsiTheme="majorHAnsi"/>
          <w:i/>
          <w:iCs/>
          <w:sz w:val="24"/>
          <w:szCs w:val="24"/>
        </w:rPr>
        <w:t>Parus major</w:t>
      </w:r>
      <w:r w:rsidRPr="00145E9B">
        <w:rPr>
          <w:rFonts w:asciiTheme="majorHAnsi" w:hAnsiTheme="majorHAnsi"/>
          <w:sz w:val="24"/>
          <w:szCs w:val="24"/>
        </w:rPr>
        <w:t>), поен дрозд (</w:t>
      </w:r>
      <w:r w:rsidRPr="00145E9B">
        <w:rPr>
          <w:rFonts w:asciiTheme="majorHAnsi" w:hAnsiTheme="majorHAnsi"/>
          <w:i/>
          <w:iCs/>
          <w:sz w:val="24"/>
          <w:szCs w:val="24"/>
        </w:rPr>
        <w:t>Turdus philomelus</w:t>
      </w:r>
      <w:r w:rsidRPr="00145E9B">
        <w:rPr>
          <w:rFonts w:asciiTheme="majorHAnsi" w:hAnsiTheme="majorHAnsi"/>
          <w:sz w:val="24"/>
          <w:szCs w:val="24"/>
        </w:rPr>
        <w:t>), голям пъстър кълвач (</w:t>
      </w:r>
      <w:r w:rsidRPr="00145E9B">
        <w:rPr>
          <w:rFonts w:asciiTheme="majorHAnsi" w:hAnsiTheme="majorHAnsi"/>
          <w:i/>
          <w:iCs/>
          <w:sz w:val="24"/>
          <w:szCs w:val="24"/>
        </w:rPr>
        <w:t>Picoides major)</w:t>
      </w:r>
      <w:r w:rsidRPr="00145E9B">
        <w:rPr>
          <w:rFonts w:asciiTheme="majorHAnsi" w:hAnsiTheme="majorHAnsi"/>
          <w:sz w:val="24"/>
          <w:szCs w:val="24"/>
        </w:rPr>
        <w:t xml:space="preserve">, имелов дрозд </w:t>
      </w:r>
      <w:r w:rsidRPr="00145E9B">
        <w:rPr>
          <w:rFonts w:asciiTheme="majorHAnsi" w:hAnsiTheme="majorHAnsi"/>
          <w:i/>
          <w:iCs/>
          <w:sz w:val="24"/>
          <w:szCs w:val="24"/>
        </w:rPr>
        <w:t>(Turdus viscivorus)</w:t>
      </w:r>
      <w:r w:rsidRPr="00145E9B">
        <w:rPr>
          <w:rFonts w:asciiTheme="majorHAnsi" w:hAnsiTheme="majorHAnsi"/>
          <w:sz w:val="24"/>
          <w:szCs w:val="24"/>
        </w:rPr>
        <w:t>, беловрата мухоловка (</w:t>
      </w:r>
      <w:r w:rsidRPr="00145E9B">
        <w:rPr>
          <w:rFonts w:asciiTheme="majorHAnsi" w:hAnsiTheme="majorHAnsi"/>
          <w:i/>
          <w:iCs/>
          <w:sz w:val="24"/>
          <w:szCs w:val="24"/>
        </w:rPr>
        <w:t>Muscicapa albicollis</w:t>
      </w:r>
      <w:r w:rsidRPr="00145E9B">
        <w:rPr>
          <w:rFonts w:asciiTheme="majorHAnsi" w:hAnsiTheme="majorHAnsi"/>
          <w:sz w:val="24"/>
          <w:szCs w:val="24"/>
        </w:rPr>
        <w:t>) и градинска червеноопашка (</w:t>
      </w:r>
      <w:r w:rsidRPr="00145E9B">
        <w:rPr>
          <w:rFonts w:asciiTheme="majorHAnsi" w:hAnsiTheme="majorHAnsi"/>
          <w:i/>
          <w:iCs/>
          <w:sz w:val="24"/>
          <w:szCs w:val="24"/>
        </w:rPr>
        <w:t>Phoenicurus phoenicurus</w:t>
      </w:r>
      <w:r w:rsidRPr="00145E9B">
        <w:rPr>
          <w:rFonts w:asciiTheme="majorHAnsi" w:hAnsiTheme="majorHAnsi"/>
          <w:sz w:val="24"/>
          <w:szCs w:val="24"/>
        </w:rPr>
        <w:t xml:space="preserve">). В откритите терени като гнездящи се срещат горска чучулига </w:t>
      </w:r>
      <w:r w:rsidRPr="00145E9B">
        <w:rPr>
          <w:rFonts w:asciiTheme="majorHAnsi" w:hAnsiTheme="majorHAnsi"/>
          <w:i/>
          <w:iCs/>
          <w:sz w:val="24"/>
          <w:szCs w:val="24"/>
        </w:rPr>
        <w:t>(Lululla arborea)</w:t>
      </w:r>
      <w:r w:rsidRPr="00145E9B">
        <w:rPr>
          <w:rFonts w:asciiTheme="majorHAnsi" w:hAnsiTheme="majorHAnsi"/>
          <w:sz w:val="24"/>
          <w:szCs w:val="24"/>
        </w:rPr>
        <w:t xml:space="preserve"> и горска бъбрица </w:t>
      </w:r>
      <w:r w:rsidRPr="00145E9B">
        <w:rPr>
          <w:rFonts w:asciiTheme="majorHAnsi" w:hAnsiTheme="majorHAnsi"/>
          <w:i/>
          <w:iCs/>
          <w:sz w:val="24"/>
          <w:szCs w:val="24"/>
        </w:rPr>
        <w:t>(Anthus trivialis).</w:t>
      </w:r>
    </w:p>
    <w:p w14:paraId="59F1F975" w14:textId="77777777" w:rsidR="00DD5234" w:rsidRPr="00145E9B" w:rsidRDefault="00DD5234" w:rsidP="00DD5234">
      <w:pPr>
        <w:pStyle w:val="a5"/>
        <w:tabs>
          <w:tab w:val="left" w:pos="360"/>
        </w:tabs>
        <w:spacing w:line="360" w:lineRule="auto"/>
        <w:jc w:val="both"/>
        <w:rPr>
          <w:rFonts w:asciiTheme="majorHAnsi" w:hAnsiTheme="majorHAnsi"/>
          <w:sz w:val="24"/>
          <w:szCs w:val="24"/>
        </w:rPr>
      </w:pPr>
      <w:bookmarkStart w:id="2" w:name="bookmark436"/>
      <w:bookmarkEnd w:id="2"/>
      <w:r w:rsidRPr="00145E9B">
        <w:rPr>
          <w:rFonts w:asciiTheme="majorHAnsi" w:hAnsiTheme="majorHAnsi"/>
          <w:b/>
          <w:bCs/>
          <w:sz w:val="24"/>
          <w:szCs w:val="24"/>
        </w:rPr>
        <w:t xml:space="preserve">- Защитена местност </w:t>
      </w:r>
      <w:r w:rsidRPr="00145E9B">
        <w:rPr>
          <w:rFonts w:asciiTheme="majorHAnsi" w:hAnsiTheme="majorHAnsi"/>
          <w:b/>
          <w:bCs/>
          <w:i/>
          <w:iCs/>
          <w:sz w:val="24"/>
          <w:szCs w:val="24"/>
        </w:rPr>
        <w:t>„</w:t>
      </w:r>
      <w:r w:rsidRPr="00145E9B">
        <w:rPr>
          <w:rFonts w:asciiTheme="majorHAnsi" w:hAnsiTheme="majorHAnsi"/>
          <w:b/>
          <w:bCs/>
          <w:sz w:val="24"/>
          <w:szCs w:val="24"/>
        </w:rPr>
        <w:t xml:space="preserve">ЧИВИРА” </w:t>
      </w:r>
      <w:r w:rsidRPr="00145E9B">
        <w:rPr>
          <w:rFonts w:asciiTheme="majorHAnsi" w:hAnsiTheme="majorHAnsi"/>
          <w:sz w:val="24"/>
          <w:szCs w:val="24"/>
        </w:rPr>
        <w:t>е обявена със Заповед № 356 от 05.02.1966 г.на МГГП, публ. В</w:t>
      </w:r>
    </w:p>
    <w:p w14:paraId="32FBDF23" w14:textId="77777777" w:rsidR="00DD5234" w:rsidRPr="00145E9B" w:rsidRDefault="00DD5234" w:rsidP="00DD5234">
      <w:pPr>
        <w:pStyle w:val="a5"/>
        <w:tabs>
          <w:tab w:val="left" w:pos="360"/>
        </w:tabs>
        <w:spacing w:line="360" w:lineRule="auto"/>
        <w:jc w:val="both"/>
        <w:rPr>
          <w:rFonts w:asciiTheme="majorHAnsi" w:hAnsiTheme="majorHAnsi"/>
          <w:sz w:val="24"/>
          <w:szCs w:val="24"/>
        </w:rPr>
      </w:pPr>
      <w:r w:rsidRPr="00145E9B">
        <w:rPr>
          <w:rFonts w:asciiTheme="majorHAnsi" w:hAnsiTheme="majorHAnsi"/>
          <w:sz w:val="24"/>
          <w:szCs w:val="24"/>
        </w:rPr>
        <w:t xml:space="preserve"> ДВ бр. 30/1966 г. Заема площ от 88.49 ха в землищата на селата Кръстевич, община Хисаря и Каравелово, община Карлово, Област Пловдив. Опазва вековна букова гора и характерен ландшафт с широколистни горски и ливадни съобщества. Стопанисва се и се охранява от ДГС - Хисар и ДГС - Карлово, под контрола на РИОСВ - Пловдив.</w:t>
      </w:r>
    </w:p>
    <w:p w14:paraId="03AC0F32" w14:textId="77777777" w:rsidR="00DD5234" w:rsidRPr="00145E9B" w:rsidRDefault="00DD5234" w:rsidP="00DD5234">
      <w:pPr>
        <w:pStyle w:val="a5"/>
        <w:spacing w:line="360" w:lineRule="auto"/>
        <w:jc w:val="both"/>
        <w:rPr>
          <w:rFonts w:asciiTheme="majorHAnsi" w:hAnsiTheme="majorHAnsi"/>
          <w:sz w:val="24"/>
          <w:szCs w:val="24"/>
        </w:rPr>
      </w:pPr>
      <w:r w:rsidRPr="00145E9B">
        <w:rPr>
          <w:rFonts w:asciiTheme="majorHAnsi" w:hAnsiTheme="majorHAnsi"/>
          <w:sz w:val="24"/>
          <w:szCs w:val="24"/>
        </w:rPr>
        <w:t>Районът е богат на предложения за обявяване на обекти по европейската мрежа от защитени зони НАТУРА 2000, предназначена за защита на видове и местообитания, описани в приложенията на Директива 92/43/ЕЕС за опазване на природните местообитания и дивата флора и фауна и по Директива 79/409/ЕЕС за опазване на дивите птици.</w:t>
      </w:r>
    </w:p>
    <w:p w14:paraId="7ACF9D98" w14:textId="77777777" w:rsidR="00DD5234" w:rsidRPr="00145E9B" w:rsidRDefault="00DD5234" w:rsidP="00DD5234">
      <w:pPr>
        <w:pStyle w:val="a5"/>
        <w:spacing w:line="360" w:lineRule="auto"/>
        <w:jc w:val="both"/>
        <w:rPr>
          <w:rFonts w:asciiTheme="majorHAnsi" w:hAnsiTheme="majorHAnsi"/>
          <w:sz w:val="24"/>
          <w:szCs w:val="24"/>
        </w:rPr>
      </w:pPr>
      <w:r w:rsidRPr="00145E9B">
        <w:rPr>
          <w:rFonts w:asciiTheme="majorHAnsi" w:hAnsiTheme="majorHAnsi"/>
          <w:b/>
          <w:bCs/>
          <w:sz w:val="24"/>
          <w:szCs w:val="24"/>
        </w:rPr>
        <w:t>Защитените зони по Директива 92/43/ЕЕС (за местообитанията) от Националната екологична мрежа, в частта й за защитените зони по чл.6, ал.1, т.1 и 2 от Закона за Биологичното разнообразие.</w:t>
      </w:r>
    </w:p>
    <w:p w14:paraId="09DDC569" w14:textId="77777777" w:rsidR="00DD5234" w:rsidRPr="00145E9B" w:rsidRDefault="00DD5234" w:rsidP="00DD5234">
      <w:pPr>
        <w:pStyle w:val="a5"/>
        <w:spacing w:line="360" w:lineRule="auto"/>
        <w:ind w:firstLine="740"/>
        <w:jc w:val="both"/>
        <w:rPr>
          <w:rFonts w:asciiTheme="majorHAnsi" w:hAnsiTheme="majorHAnsi"/>
          <w:sz w:val="24"/>
          <w:szCs w:val="24"/>
        </w:rPr>
      </w:pPr>
      <w:r w:rsidRPr="00145E9B">
        <w:rPr>
          <w:rFonts w:asciiTheme="majorHAnsi" w:hAnsiTheme="majorHAnsi"/>
          <w:b/>
          <w:bCs/>
          <w:sz w:val="24"/>
          <w:szCs w:val="24"/>
        </w:rPr>
        <w:t>РЕКА ПЯСЪЧНИК”</w:t>
      </w:r>
      <w:r w:rsidRPr="00145E9B">
        <w:rPr>
          <w:rFonts w:asciiTheme="majorHAnsi" w:hAnsiTheme="majorHAnsi"/>
          <w:sz w:val="24"/>
          <w:szCs w:val="24"/>
        </w:rPr>
        <w:t>, записана с идентификационен код BG0000444 и с площ от 1879.97 ха. Предмет на опазване са два типа местообитания, включени в Приложение 1 на Директива 92/43/ и в Приложение №1 на Закона за биологичното разнообразие и 17 вида с висок природозащитен статус - 5 безгръбначни, 2 риби, два вида земноводни, 4 влечуги и 6 вида бозайници.</w:t>
      </w:r>
    </w:p>
    <w:p w14:paraId="1BEB03EB" w14:textId="77777777" w:rsidR="00DD5234" w:rsidRPr="00145E9B" w:rsidRDefault="00DD5234" w:rsidP="00DD5234">
      <w:pPr>
        <w:pStyle w:val="a5"/>
        <w:spacing w:line="360" w:lineRule="auto"/>
        <w:ind w:firstLine="740"/>
        <w:jc w:val="both"/>
        <w:rPr>
          <w:rFonts w:asciiTheme="majorHAnsi" w:hAnsiTheme="majorHAnsi"/>
          <w:sz w:val="24"/>
          <w:szCs w:val="24"/>
        </w:rPr>
      </w:pPr>
      <w:r w:rsidRPr="00145E9B">
        <w:rPr>
          <w:rFonts w:asciiTheme="majorHAnsi" w:hAnsiTheme="majorHAnsi"/>
          <w:b/>
          <w:bCs/>
          <w:sz w:val="24"/>
          <w:szCs w:val="24"/>
        </w:rPr>
        <w:t>„ПОПИНЦИ” (BG0001039</w:t>
      </w:r>
      <w:r w:rsidRPr="00145E9B">
        <w:rPr>
          <w:rFonts w:asciiTheme="majorHAnsi" w:hAnsiTheme="majorHAnsi"/>
          <w:sz w:val="24"/>
          <w:szCs w:val="24"/>
        </w:rPr>
        <w:t>) с площ от 20906.72 ха. Предмет на опазване са 15 типа местообитания, включени в Приложение 1 на Директива 92/43/ и в Приложение №1 на Закона за биологичното разнообразие, 8 безгръбначни, 2 риби, 2 вида земноводни, 3 вида влечуги и 9 вида бозайници.</w:t>
      </w:r>
    </w:p>
    <w:p w14:paraId="22021FBF" w14:textId="77777777" w:rsidR="00DD5234" w:rsidRPr="00145E9B" w:rsidRDefault="00DD5234" w:rsidP="00DD5234">
      <w:pPr>
        <w:pStyle w:val="a5"/>
        <w:spacing w:line="360" w:lineRule="auto"/>
        <w:ind w:firstLine="740"/>
        <w:jc w:val="both"/>
        <w:rPr>
          <w:rFonts w:asciiTheme="majorHAnsi" w:hAnsiTheme="majorHAnsi"/>
          <w:sz w:val="24"/>
          <w:szCs w:val="24"/>
        </w:rPr>
      </w:pPr>
      <w:r w:rsidRPr="00145E9B">
        <w:rPr>
          <w:rFonts w:asciiTheme="majorHAnsi" w:hAnsiTheme="majorHAnsi"/>
          <w:b/>
          <w:bCs/>
          <w:sz w:val="24"/>
          <w:szCs w:val="24"/>
        </w:rPr>
        <w:t>„СРЕДНА ГОРА” (BG0001389</w:t>
      </w:r>
      <w:r w:rsidRPr="00145E9B">
        <w:rPr>
          <w:rFonts w:asciiTheme="majorHAnsi" w:hAnsiTheme="majorHAnsi"/>
          <w:sz w:val="24"/>
          <w:szCs w:val="24"/>
        </w:rPr>
        <w:t xml:space="preserve">) с площ от 110373.64 ха. Предмет на опазване са 18 типа местообитания, включени в Приложение 1 на Директива 92/43/ и в Приложение №1 </w:t>
      </w:r>
      <w:r w:rsidRPr="00145E9B">
        <w:rPr>
          <w:rFonts w:asciiTheme="majorHAnsi" w:hAnsiTheme="majorHAnsi"/>
          <w:sz w:val="24"/>
          <w:szCs w:val="24"/>
        </w:rPr>
        <w:lastRenderedPageBreak/>
        <w:t>на Закона за биологичното разнообразие, два вида растения, 13 безгръбначни, 3 риби, 2 вида земноводни, 4 вида влечуги и 16 вида бозайници.</w:t>
      </w:r>
    </w:p>
    <w:p w14:paraId="46889FE7" w14:textId="77777777" w:rsidR="00DD5234" w:rsidRPr="00145E9B" w:rsidRDefault="00DD5234" w:rsidP="00DD5234">
      <w:pPr>
        <w:pStyle w:val="a5"/>
        <w:spacing w:line="360" w:lineRule="auto"/>
        <w:jc w:val="both"/>
        <w:rPr>
          <w:rFonts w:asciiTheme="majorHAnsi" w:hAnsiTheme="majorHAnsi"/>
          <w:sz w:val="24"/>
          <w:szCs w:val="24"/>
        </w:rPr>
      </w:pPr>
      <w:r w:rsidRPr="00145E9B">
        <w:rPr>
          <w:rFonts w:asciiTheme="majorHAnsi" w:hAnsiTheme="majorHAnsi"/>
          <w:b/>
          <w:bCs/>
          <w:sz w:val="24"/>
          <w:szCs w:val="24"/>
        </w:rPr>
        <w:t>Защитени зони по чл.6, ал.1, т.3 и 4 от Закона за биологичното разнообразие, изграждани по европейската програма Натура2000, в частта й за опазване на местообитанията на птиците по Директива 79/409/ЕЕС.</w:t>
      </w:r>
    </w:p>
    <w:p w14:paraId="026B3FA2" w14:textId="77777777" w:rsidR="00DD5234" w:rsidRPr="00145E9B" w:rsidRDefault="00DD5234" w:rsidP="00DD5234">
      <w:pPr>
        <w:pStyle w:val="a5"/>
        <w:spacing w:line="360" w:lineRule="auto"/>
        <w:ind w:firstLine="740"/>
        <w:jc w:val="both"/>
        <w:rPr>
          <w:rFonts w:asciiTheme="majorHAnsi" w:hAnsiTheme="majorHAnsi"/>
          <w:sz w:val="24"/>
          <w:szCs w:val="24"/>
        </w:rPr>
      </w:pPr>
      <w:r w:rsidRPr="00145E9B">
        <w:rPr>
          <w:rFonts w:asciiTheme="majorHAnsi" w:hAnsiTheme="majorHAnsi"/>
          <w:b/>
          <w:bCs/>
          <w:sz w:val="24"/>
          <w:szCs w:val="24"/>
        </w:rPr>
        <w:t xml:space="preserve">„СРЕДНА ГОРА” (BG0002002) </w:t>
      </w:r>
      <w:r w:rsidRPr="00145E9B">
        <w:rPr>
          <w:rFonts w:asciiTheme="majorHAnsi" w:hAnsiTheme="majorHAnsi"/>
          <w:sz w:val="24"/>
          <w:szCs w:val="24"/>
        </w:rPr>
        <w:t>с площ от 990 623,947 дка, обявена със Заповед № РД- 273/30.03.2012 година на МОСВ (ДВ бр. 32/2012 г.). Предмет на опазване са 37 вида птици по чл. 6, ал.1, т.3 от Закона за биологичното разнообразие и 8 вида по чл. 6, ал.1, т.4.</w:t>
      </w:r>
    </w:p>
    <w:p w14:paraId="6774CDBD" w14:textId="77777777" w:rsidR="00DD5234" w:rsidRPr="00145E9B" w:rsidRDefault="00DD5234" w:rsidP="00DD5234">
      <w:pPr>
        <w:pStyle w:val="a5"/>
        <w:spacing w:line="360" w:lineRule="auto"/>
        <w:ind w:firstLine="740"/>
        <w:jc w:val="both"/>
        <w:rPr>
          <w:rFonts w:asciiTheme="majorHAnsi" w:hAnsiTheme="majorHAnsi"/>
          <w:sz w:val="24"/>
          <w:szCs w:val="24"/>
        </w:rPr>
      </w:pPr>
      <w:r w:rsidRPr="00145E9B">
        <w:rPr>
          <w:rFonts w:asciiTheme="majorHAnsi" w:hAnsiTheme="majorHAnsi"/>
          <w:b/>
          <w:bCs/>
          <w:sz w:val="24"/>
          <w:szCs w:val="24"/>
        </w:rPr>
        <w:t xml:space="preserve">„ЯЗОВИР ПЯСЪЧНИК” (BG0002010) </w:t>
      </w:r>
      <w:r w:rsidRPr="00145E9B">
        <w:rPr>
          <w:rFonts w:asciiTheme="majorHAnsi" w:hAnsiTheme="majorHAnsi"/>
          <w:sz w:val="24"/>
          <w:szCs w:val="24"/>
        </w:rPr>
        <w:t>с площ от 31 783,187 дка, обявена със Заповед № РД-574/08.09.2008 година на МОСВ (ДВ бр. 85/2008 г.). Предмет на опазване са 54 вида птици по чл. 6, ал.1, т.3 от Закона за биологичното разнообразие и 53 вида по чл. 6, ал.1, т.4.</w:t>
      </w:r>
    </w:p>
    <w:p w14:paraId="0705CC18" w14:textId="77777777" w:rsidR="00DD5234" w:rsidRPr="00145E9B" w:rsidRDefault="00DD5234" w:rsidP="00DD5234">
      <w:pPr>
        <w:pStyle w:val="a5"/>
        <w:spacing w:line="360" w:lineRule="auto"/>
        <w:ind w:firstLine="740"/>
        <w:jc w:val="both"/>
        <w:rPr>
          <w:rFonts w:asciiTheme="majorHAnsi" w:hAnsiTheme="majorHAnsi"/>
          <w:sz w:val="24"/>
          <w:szCs w:val="24"/>
        </w:rPr>
      </w:pPr>
      <w:r w:rsidRPr="00145E9B">
        <w:rPr>
          <w:rFonts w:asciiTheme="majorHAnsi" w:hAnsiTheme="majorHAnsi"/>
          <w:b/>
          <w:bCs/>
          <w:sz w:val="24"/>
          <w:szCs w:val="24"/>
        </w:rPr>
        <w:t>РЕКА СТРЯМА”</w:t>
      </w:r>
      <w:r w:rsidRPr="00145E9B">
        <w:rPr>
          <w:rFonts w:asciiTheme="majorHAnsi" w:hAnsiTheme="majorHAnsi"/>
          <w:sz w:val="24"/>
          <w:szCs w:val="24"/>
        </w:rPr>
        <w:t>, записана с идентификационен код BG0000429 и с площ от 4078.38 ха. Предмет на опазване са 5 типа местообитания, включени в Приложение 1 на Директива 92/43/ и в Приложение №1 на Закона за биологичното разнообразие и 34 вида с висок природозащитен статус - 7 безгръбначни, 4 риби, 3 вида земноводни, 4 влечуги и 17 вида бозайници.</w:t>
      </w:r>
    </w:p>
    <w:p w14:paraId="3DC32209" w14:textId="272984C4" w:rsidR="0037300E" w:rsidRPr="00145E9B" w:rsidRDefault="0037300E" w:rsidP="0037300E">
      <w:pPr>
        <w:spacing w:after="0" w:line="240" w:lineRule="auto"/>
        <w:jc w:val="both"/>
        <w:rPr>
          <w:rFonts w:asciiTheme="majorHAnsi" w:eastAsia="Times New Roman" w:hAnsiTheme="majorHAnsi" w:cs="Times New Roman"/>
          <w:color w:val="222222"/>
          <w:sz w:val="24"/>
          <w:szCs w:val="24"/>
          <w:lang w:eastAsia="bg-BG"/>
        </w:rPr>
      </w:pPr>
      <w:r w:rsidRPr="00145E9B">
        <w:rPr>
          <w:rFonts w:asciiTheme="majorHAnsi" w:eastAsia="Times New Roman" w:hAnsiTheme="majorHAnsi" w:cs="Times New Roman"/>
          <w:color w:val="222222"/>
          <w:sz w:val="24"/>
          <w:szCs w:val="24"/>
          <w:lang w:eastAsia="bg-BG"/>
        </w:rPr>
        <w:t>д) Основни цели на плана/програмата</w:t>
      </w:r>
    </w:p>
    <w:p w14:paraId="307C9C74" w14:textId="541A8E75" w:rsidR="00DD5234" w:rsidRPr="00145E9B" w:rsidRDefault="00DD5234" w:rsidP="00DD5234">
      <w:pPr>
        <w:jc w:val="both"/>
        <w:rPr>
          <w:rFonts w:asciiTheme="majorHAnsi" w:eastAsia="Times New Roman" w:hAnsiTheme="majorHAnsi" w:cs="Times New Roman"/>
          <w:sz w:val="24"/>
          <w:szCs w:val="24"/>
          <w:shd w:val="clear" w:color="auto" w:fill="FEFEFE"/>
        </w:rPr>
      </w:pPr>
      <w:r w:rsidRPr="00145E9B">
        <w:rPr>
          <w:rFonts w:asciiTheme="majorHAnsi" w:eastAsia="Times New Roman" w:hAnsiTheme="majorHAnsi" w:cs="Times New Roman"/>
          <w:b/>
          <w:sz w:val="24"/>
          <w:szCs w:val="24"/>
          <w:highlight w:val="white"/>
          <w:shd w:val="clear" w:color="auto" w:fill="FEFEFE"/>
        </w:rPr>
        <w:t>Основна цел</w:t>
      </w:r>
      <w:r w:rsidRPr="00145E9B">
        <w:rPr>
          <w:rFonts w:asciiTheme="majorHAnsi" w:eastAsia="Times New Roman" w:hAnsiTheme="majorHAnsi" w:cs="Times New Roman"/>
          <w:sz w:val="24"/>
          <w:szCs w:val="24"/>
          <w:highlight w:val="white"/>
          <w:shd w:val="clear" w:color="auto" w:fill="FEFEFE"/>
        </w:rPr>
        <w:t xml:space="preserve">: </w:t>
      </w:r>
    </w:p>
    <w:p w14:paraId="378AE728" w14:textId="77777777" w:rsidR="00DD5234" w:rsidRPr="00145E9B" w:rsidRDefault="00DD5234" w:rsidP="00DD5234">
      <w:pPr>
        <w:jc w:val="both"/>
        <w:rPr>
          <w:rFonts w:asciiTheme="majorHAnsi" w:hAnsiTheme="majorHAnsi" w:cs="Times New Roman"/>
          <w:sz w:val="24"/>
          <w:szCs w:val="24"/>
        </w:rPr>
      </w:pPr>
      <w:r w:rsidRPr="00145E9B">
        <w:rPr>
          <w:rFonts w:asciiTheme="majorHAnsi" w:hAnsiTheme="majorHAnsi" w:cs="Times New Roman"/>
          <w:b/>
          <w:bCs/>
          <w:sz w:val="24"/>
          <w:szCs w:val="24"/>
        </w:rPr>
        <w:t xml:space="preserve">УСТОЙЧИВО РАЗВИТИЕ НА ТЕРИТОРИЯТА НА </w:t>
      </w:r>
      <w:r w:rsidRPr="00145E9B">
        <w:rPr>
          <w:rFonts w:asciiTheme="majorHAnsi" w:hAnsiTheme="majorHAnsi" w:cs="Times New Roman"/>
          <w:b/>
          <w:sz w:val="24"/>
          <w:szCs w:val="24"/>
        </w:rPr>
        <w:t>„</w:t>
      </w:r>
      <w:r w:rsidRPr="00145E9B">
        <w:rPr>
          <w:rFonts w:asciiTheme="majorHAnsi" w:hAnsiTheme="majorHAnsi" w:cs="Times New Roman"/>
          <w:b/>
          <w:color w:val="000000"/>
          <w:sz w:val="24"/>
          <w:szCs w:val="24"/>
          <w:lang w:bidi="bg-BG"/>
        </w:rPr>
        <w:t>МИГ ХИСАРЯ“</w:t>
      </w:r>
      <w:r w:rsidRPr="00145E9B">
        <w:rPr>
          <w:rFonts w:asciiTheme="majorHAnsi" w:hAnsiTheme="majorHAnsi" w:cs="Times New Roman"/>
          <w:b/>
          <w:sz w:val="24"/>
          <w:szCs w:val="24"/>
        </w:rPr>
        <w:t>-</w:t>
      </w:r>
      <w:r w:rsidRPr="00145E9B">
        <w:rPr>
          <w:rFonts w:asciiTheme="majorHAnsi" w:hAnsiTheme="majorHAnsi" w:cs="Times New Roman"/>
          <w:sz w:val="24"/>
          <w:szCs w:val="24"/>
        </w:rPr>
        <w:t xml:space="preserve"> </w:t>
      </w:r>
      <w:r w:rsidRPr="00145E9B">
        <w:rPr>
          <w:rFonts w:asciiTheme="majorHAnsi" w:hAnsiTheme="majorHAnsi" w:cs="Times New Roman"/>
          <w:b/>
          <w:bCs/>
          <w:sz w:val="24"/>
          <w:szCs w:val="24"/>
        </w:rPr>
        <w:t>ЧРЕЗ СЪХРАНЯВАНЕ НА МЕСТНАТА ИДЕНТИЧНОСТ, ИЗПОЛЗВАНЕ НА НАЛИЧНИЯ ПОТЕНЦИАЛ ЗА ПОВИШАВАНЕ КАЧЕСТВО И СТАНДАРТА НА ЖИВОТ, РАЗВИТИЕ НА СИЛНА МЕСТНА ИКОНОМИКА И НАРАСТВАЩА ТУРИСТИЧЕСКА ПРИВЛЕКАТЕЛНОСТ</w:t>
      </w:r>
      <w:r w:rsidRPr="00145E9B">
        <w:rPr>
          <w:rFonts w:asciiTheme="majorHAnsi" w:hAnsiTheme="majorHAnsi" w:cs="Times New Roman"/>
          <w:sz w:val="24"/>
          <w:szCs w:val="24"/>
        </w:rPr>
        <w:t>.</w:t>
      </w:r>
    </w:p>
    <w:p w14:paraId="34625E0F" w14:textId="77777777" w:rsidR="00DD5234" w:rsidRPr="00145E9B" w:rsidRDefault="00DD5234" w:rsidP="00DD5234">
      <w:pPr>
        <w:jc w:val="both"/>
        <w:rPr>
          <w:rFonts w:asciiTheme="majorHAnsi" w:eastAsia="Calibri" w:hAnsiTheme="majorHAnsi" w:cs="Times New Roman"/>
          <w:sz w:val="24"/>
          <w:szCs w:val="24"/>
        </w:rPr>
      </w:pPr>
      <w:r w:rsidRPr="00145E9B">
        <w:rPr>
          <w:rFonts w:asciiTheme="majorHAnsi" w:eastAsia="Calibri" w:hAnsiTheme="majorHAnsi" w:cs="Times New Roman"/>
          <w:sz w:val="24"/>
          <w:szCs w:val="24"/>
        </w:rPr>
        <w:t xml:space="preserve">Постигането на основната стратегическа цел ще се осъществи чрез реализиране на </w:t>
      </w:r>
      <w:r w:rsidRPr="00145E9B">
        <w:rPr>
          <w:rFonts w:asciiTheme="majorHAnsi" w:eastAsia="Calibri" w:hAnsiTheme="majorHAnsi" w:cs="Times New Roman"/>
          <w:b/>
          <w:sz w:val="24"/>
          <w:szCs w:val="24"/>
        </w:rPr>
        <w:t>три приоритета</w:t>
      </w:r>
      <w:r w:rsidRPr="00145E9B">
        <w:rPr>
          <w:rFonts w:asciiTheme="majorHAnsi" w:eastAsia="Calibri" w:hAnsiTheme="majorHAnsi" w:cs="Times New Roman"/>
          <w:sz w:val="24"/>
          <w:szCs w:val="24"/>
        </w:rPr>
        <w:t>:</w:t>
      </w:r>
    </w:p>
    <w:p w14:paraId="3CBF3BD8" w14:textId="33899B0E" w:rsidR="00DD5234" w:rsidRPr="00145E9B" w:rsidRDefault="00DD5234" w:rsidP="00DD5234">
      <w:pPr>
        <w:pStyle w:val="a9"/>
        <w:numPr>
          <w:ilvl w:val="0"/>
          <w:numId w:val="1"/>
        </w:numPr>
        <w:spacing w:after="0"/>
        <w:ind w:left="0"/>
        <w:jc w:val="both"/>
        <w:rPr>
          <w:rFonts w:asciiTheme="majorHAnsi" w:eastAsia="Times New Roman" w:hAnsiTheme="majorHAnsi" w:cs="Times New Roman"/>
          <w:sz w:val="24"/>
          <w:szCs w:val="24"/>
          <w:highlight w:val="white"/>
          <w:shd w:val="clear" w:color="auto" w:fill="FEFEFE"/>
        </w:rPr>
      </w:pPr>
      <w:r w:rsidRPr="00145E9B">
        <w:rPr>
          <w:rFonts w:asciiTheme="majorHAnsi" w:hAnsiTheme="majorHAnsi" w:cs="Times New Roman"/>
          <w:b/>
          <w:sz w:val="24"/>
          <w:szCs w:val="24"/>
          <w:u w:val="single"/>
        </w:rPr>
        <w:t xml:space="preserve">ПРИОРИТЕТ 1: </w:t>
      </w:r>
      <w:r w:rsidRPr="00145E9B">
        <w:rPr>
          <w:rFonts w:asciiTheme="majorHAnsi" w:eastAsia="Times New Roman" w:hAnsiTheme="majorHAnsi" w:cs="Times New Roman"/>
          <w:sz w:val="24"/>
          <w:szCs w:val="24"/>
          <w:highlight w:val="white"/>
          <w:shd w:val="clear" w:color="auto" w:fill="FEFEFE"/>
        </w:rPr>
        <w:t xml:space="preserve">Стимулиране на инвестиционната активност за постигане на динамична, конкурентноспособна икономика. Реализацията на </w:t>
      </w:r>
      <w:r w:rsidRPr="00145E9B">
        <w:rPr>
          <w:rFonts w:asciiTheme="majorHAnsi" w:eastAsia="Times New Roman" w:hAnsiTheme="majorHAnsi" w:cs="Times New Roman"/>
          <w:b/>
          <w:sz w:val="24"/>
          <w:szCs w:val="24"/>
          <w:highlight w:val="white"/>
          <w:shd w:val="clear" w:color="auto" w:fill="FEFEFE"/>
        </w:rPr>
        <w:t>Приоритет 1</w:t>
      </w:r>
      <w:r w:rsidRPr="00145E9B">
        <w:rPr>
          <w:rFonts w:asciiTheme="majorHAnsi" w:eastAsia="Times New Roman" w:hAnsiTheme="majorHAnsi" w:cs="Times New Roman"/>
          <w:sz w:val="24"/>
          <w:szCs w:val="24"/>
          <w:highlight w:val="white"/>
          <w:shd w:val="clear" w:color="auto" w:fill="FEFEFE"/>
        </w:rPr>
        <w:t xml:space="preserve"> ще доведе до постигане на следните специфични цели: повишаване на конкурентоспособността на местната икономика и възможности за укрепване и създаване на устойчив местен бизнес, включително чрез подкрепа за алтернативни дейности; подкрепа за въвеждане на нови иновативни технологии за устойчиво развитие на бизнеса; подобряване на ресурсната ефективност; подкрепа за териториалната идентичност чрез стимулиране на специфичния териториален потенциал и продукти от местен характер. Населението съхранява обичаи и традиции, но те не са превърнати в източник на доходи. Иновациите в местната икономика са подценени . В същото време те са необходими за да се оптимизират процесите на организация на дейностите, на разнообразяване на продуктова гама и услуги. Предвидените подмерки насочени към изпълнението на Приоритет 1 от СПРЗСР са: „ Инвестиции в земеделски стопанства“, „Инвестиции за преработка на селскостопански продукти“, „Инвестиции за неселскостопански дейности“. От програма „Конкурентоспособност и иновации в предприятията“ – мярка „внедряване на иновации в МСП на територията на МИГ“ с нейните два приоритета – Иновации и растеж и Кръгово </w:t>
      </w:r>
      <w:r w:rsidRPr="00145E9B">
        <w:rPr>
          <w:rFonts w:asciiTheme="majorHAnsi" w:eastAsia="Times New Roman" w:hAnsiTheme="majorHAnsi" w:cs="Times New Roman"/>
          <w:sz w:val="24"/>
          <w:szCs w:val="24"/>
          <w:highlight w:val="white"/>
          <w:shd w:val="clear" w:color="auto" w:fill="FEFEFE"/>
        </w:rPr>
        <w:lastRenderedPageBreak/>
        <w:t xml:space="preserve">икономика. Повишаването атрактивността и интереса към територията  и разработването на </w:t>
      </w:r>
      <w:r w:rsidRPr="00145E9B">
        <w:rPr>
          <w:rFonts w:asciiTheme="majorHAnsi" w:eastAsia="Times New Roman" w:hAnsiTheme="majorHAnsi" w:cs="Times New Roman"/>
          <w:sz w:val="24"/>
          <w:szCs w:val="24"/>
          <w:shd w:val="clear" w:color="auto" w:fill="FEFEFE"/>
        </w:rPr>
        <w:t xml:space="preserve">Стратегия за „умни села“ </w:t>
      </w:r>
      <w:r w:rsidRPr="00145E9B">
        <w:rPr>
          <w:rFonts w:asciiTheme="majorHAnsi" w:eastAsia="Times New Roman" w:hAnsiTheme="majorHAnsi" w:cs="Times New Roman"/>
          <w:sz w:val="24"/>
          <w:szCs w:val="24"/>
          <w:highlight w:val="white"/>
          <w:shd w:val="clear" w:color="auto" w:fill="FEFEFE"/>
        </w:rPr>
        <w:t>ще се реализира чрез изпълнението на мярка от СПРЗСР – Изпълнение на операции, включително дейности за сътрудничество и тяхната подготовка, избрани в рамките на стратегията за местно развитие.</w:t>
      </w:r>
    </w:p>
    <w:p w14:paraId="0F679182" w14:textId="77777777" w:rsidR="00DD5234" w:rsidRPr="00145E9B" w:rsidRDefault="00DD5234" w:rsidP="00DD5234">
      <w:pPr>
        <w:pStyle w:val="a9"/>
        <w:numPr>
          <w:ilvl w:val="0"/>
          <w:numId w:val="1"/>
        </w:numPr>
        <w:spacing w:after="0"/>
        <w:ind w:left="0"/>
        <w:jc w:val="both"/>
        <w:rPr>
          <w:rFonts w:asciiTheme="majorHAnsi" w:hAnsiTheme="majorHAnsi" w:cs="Times New Roman"/>
          <w:sz w:val="24"/>
          <w:szCs w:val="24"/>
          <w:shd w:val="clear" w:color="auto" w:fill="FEFEFE"/>
        </w:rPr>
      </w:pPr>
      <w:r w:rsidRPr="00145E9B">
        <w:rPr>
          <w:rFonts w:asciiTheme="majorHAnsi" w:hAnsiTheme="majorHAnsi" w:cs="Times New Roman"/>
          <w:b/>
          <w:sz w:val="24"/>
          <w:szCs w:val="24"/>
          <w:u w:val="single"/>
        </w:rPr>
        <w:t xml:space="preserve">ПРИОРИТЕТ 2: </w:t>
      </w:r>
      <w:r w:rsidRPr="00145E9B">
        <w:rPr>
          <w:rFonts w:asciiTheme="majorHAnsi" w:eastAsia="Times New Roman" w:hAnsiTheme="majorHAnsi" w:cs="Times New Roman"/>
          <w:sz w:val="24"/>
          <w:szCs w:val="24"/>
          <w:highlight w:val="white"/>
          <w:shd w:val="clear" w:color="auto" w:fill="FEFEFE"/>
        </w:rPr>
        <w:t xml:space="preserve">Развитие на човешките ресурси, качествено образование и социална среда. Специфичните цели, които ще се постигнат чрез реализацията на </w:t>
      </w:r>
      <w:r w:rsidRPr="00145E9B">
        <w:rPr>
          <w:rFonts w:asciiTheme="majorHAnsi" w:eastAsia="Times New Roman" w:hAnsiTheme="majorHAnsi" w:cs="Times New Roman"/>
          <w:b/>
          <w:sz w:val="24"/>
          <w:szCs w:val="24"/>
          <w:highlight w:val="white"/>
          <w:shd w:val="clear" w:color="auto" w:fill="FEFEFE"/>
        </w:rPr>
        <w:t>Приоритет 2</w:t>
      </w:r>
      <w:r w:rsidRPr="00145E9B">
        <w:rPr>
          <w:rFonts w:asciiTheme="majorHAnsi" w:eastAsia="Times New Roman" w:hAnsiTheme="majorHAnsi" w:cs="Times New Roman"/>
          <w:sz w:val="24"/>
          <w:szCs w:val="24"/>
          <w:highlight w:val="white"/>
          <w:shd w:val="clear" w:color="auto" w:fill="FEFEFE"/>
        </w:rPr>
        <w:t xml:space="preserve"> са: насърчаване на устойчива качествена заетост и социално включване на уязвими и маргинализирани групи; приобщаващо образование и образователна интеграция. Целевите групи към които са насочени интервенциите са възрасти и самотни хора, деца и младежи в неравностойно положение, както и групите в изолация,. Мерките чрез които ще се реализира Приоритет 2 са: От Програма „Развитие на човешките ресурси“ усилията ще са насочени към прилагането на две мерки – „Подобряване на достъпа до трудова заетост  и активиране за включване в пазара на труда“ и „Насърчаване на социално- икономическата интеграция на маргинализираните общности като ромите. От Програма „Образование“ допълващото финансиране ще се насочи към мярка „Приобщаващо образование и образователна интеграция. </w:t>
      </w:r>
    </w:p>
    <w:p w14:paraId="1345D902" w14:textId="77777777" w:rsidR="00DD5234" w:rsidRPr="00145E9B" w:rsidRDefault="00DD5234" w:rsidP="00DD5234">
      <w:pPr>
        <w:spacing w:before="120" w:after="0"/>
        <w:jc w:val="both"/>
        <w:rPr>
          <w:rFonts w:asciiTheme="majorHAnsi" w:hAnsiTheme="majorHAnsi" w:cs="Times New Roman"/>
          <w:sz w:val="24"/>
          <w:szCs w:val="24"/>
          <w:shd w:val="clear" w:color="auto" w:fill="FEFEFE"/>
        </w:rPr>
      </w:pPr>
      <w:r w:rsidRPr="00145E9B">
        <w:rPr>
          <w:rFonts w:asciiTheme="majorHAnsi" w:hAnsiTheme="majorHAnsi" w:cs="Times New Roman"/>
          <w:b/>
          <w:sz w:val="24"/>
          <w:szCs w:val="24"/>
          <w:u w:val="single"/>
        </w:rPr>
        <w:t xml:space="preserve">ПРИОРИТЕТ 3: </w:t>
      </w:r>
      <w:r w:rsidRPr="00145E9B">
        <w:rPr>
          <w:rFonts w:asciiTheme="majorHAnsi" w:eastAsia="Times New Roman" w:hAnsiTheme="majorHAnsi" w:cs="Times New Roman"/>
          <w:sz w:val="24"/>
          <w:szCs w:val="24"/>
          <w:highlight w:val="white"/>
          <w:shd w:val="clear" w:color="auto" w:fill="FEFEFE"/>
        </w:rPr>
        <w:t>Подобряване на привлекателността и качеството на жизнената среда</w:t>
      </w:r>
      <w:r w:rsidRPr="00145E9B">
        <w:rPr>
          <w:rFonts w:asciiTheme="majorHAnsi" w:eastAsia="Times New Roman" w:hAnsiTheme="majorHAnsi" w:cs="Times New Roman"/>
          <w:sz w:val="24"/>
          <w:szCs w:val="24"/>
          <w:shd w:val="clear" w:color="auto" w:fill="FEFEFE"/>
        </w:rPr>
        <w:t xml:space="preserve">. Специфичните цели, които ще се постигнат чрез реализацията на </w:t>
      </w:r>
      <w:r w:rsidRPr="00145E9B">
        <w:rPr>
          <w:rFonts w:asciiTheme="majorHAnsi" w:eastAsia="Times New Roman" w:hAnsiTheme="majorHAnsi" w:cs="Times New Roman"/>
          <w:b/>
          <w:sz w:val="24"/>
          <w:szCs w:val="24"/>
          <w:shd w:val="clear" w:color="auto" w:fill="FEFEFE"/>
        </w:rPr>
        <w:t>Приоритет 3</w:t>
      </w:r>
      <w:r w:rsidRPr="00145E9B">
        <w:rPr>
          <w:rFonts w:asciiTheme="majorHAnsi" w:eastAsia="Times New Roman" w:hAnsiTheme="majorHAnsi" w:cs="Times New Roman"/>
          <w:sz w:val="24"/>
          <w:szCs w:val="24"/>
          <w:shd w:val="clear" w:color="auto" w:fill="FEFEFE"/>
        </w:rPr>
        <w:t xml:space="preserve"> са: подобряване на условията на живо на местната общност; подобряване качеството на живот чрез развитие на хоризонтални е между секторни партньорства за инициативи от общ интерес, както и на практики и модели за добро управление и участие на заинтересованите страни за развитието на територията; съхраняване и опазване на околната среда и насърчаване на ресурсната ефективност; превенция и управление на риска; използване на потенциала на културното наследство. От мерките, които ще създадат възможност за реализация на Приоритет 3 са от СПРЗСР:</w:t>
      </w:r>
      <w:r w:rsidRPr="00145E9B">
        <w:rPr>
          <w:rFonts w:asciiTheme="majorHAnsi" w:hAnsiTheme="majorHAnsi" w:cs="Times New Roman"/>
          <w:sz w:val="24"/>
          <w:szCs w:val="24"/>
          <w:shd w:val="clear" w:color="auto" w:fill="FEFEFE"/>
        </w:rPr>
        <w:t xml:space="preserve"> „Инвестиции за неселскостопански дейности  селските райони“ и „Инвестиции в основни услуги и дребни по мащаб инфраструктура в селските райони“. От Програма „Околна среда“ ще се прилагат мерките свързани с отпадъци и биологично разнообразие.</w:t>
      </w:r>
    </w:p>
    <w:p w14:paraId="715005C5" w14:textId="77777777" w:rsidR="00DD5234" w:rsidRPr="00145E9B" w:rsidRDefault="00DD5234" w:rsidP="00DD5234">
      <w:pPr>
        <w:spacing w:before="120" w:after="0"/>
        <w:jc w:val="both"/>
        <w:rPr>
          <w:rFonts w:asciiTheme="majorHAnsi" w:hAnsiTheme="majorHAnsi" w:cs="Times New Roman"/>
          <w:sz w:val="24"/>
          <w:szCs w:val="24"/>
          <w:shd w:val="clear" w:color="auto" w:fill="FEFEFE"/>
        </w:rPr>
      </w:pPr>
    </w:p>
    <w:p w14:paraId="01FD76B6" w14:textId="6C4965B3" w:rsidR="0037300E" w:rsidRPr="00145E9B" w:rsidRDefault="0037300E" w:rsidP="0037300E">
      <w:pPr>
        <w:spacing w:after="0" w:line="240" w:lineRule="auto"/>
        <w:jc w:val="both"/>
        <w:rPr>
          <w:rFonts w:asciiTheme="majorHAnsi" w:eastAsia="Times New Roman" w:hAnsiTheme="majorHAnsi" w:cs="Times New Roman"/>
          <w:color w:val="222222"/>
          <w:sz w:val="24"/>
          <w:szCs w:val="24"/>
          <w:lang w:eastAsia="bg-BG"/>
        </w:rPr>
      </w:pPr>
      <w:r w:rsidRPr="00145E9B">
        <w:rPr>
          <w:rFonts w:asciiTheme="majorHAnsi" w:eastAsia="Times New Roman" w:hAnsiTheme="majorHAnsi" w:cs="Times New Roman"/>
          <w:color w:val="222222"/>
          <w:sz w:val="24"/>
          <w:szCs w:val="24"/>
          <w:lang w:eastAsia="bg-BG"/>
        </w:rPr>
        <w:t>е) Финансиране на плана/програмата (държавен, общински бюджет или международни програми, други финансови институции)</w:t>
      </w:r>
    </w:p>
    <w:p w14:paraId="03747FFF" w14:textId="1B16486F" w:rsidR="003C4CE5" w:rsidRPr="00145E9B" w:rsidRDefault="003C4CE5" w:rsidP="003C4CE5">
      <w:pPr>
        <w:widowControl w:val="0"/>
        <w:autoSpaceDE w:val="0"/>
        <w:autoSpaceDN w:val="0"/>
        <w:adjustRightInd w:val="0"/>
        <w:spacing w:before="100" w:beforeAutospacing="1" w:after="100" w:afterAutospacing="1" w:line="240" w:lineRule="auto"/>
        <w:jc w:val="both"/>
        <w:rPr>
          <w:rFonts w:asciiTheme="majorHAnsi" w:eastAsia="Times New Roman" w:hAnsiTheme="majorHAnsi" w:cs="Arial"/>
          <w:sz w:val="24"/>
          <w:szCs w:val="24"/>
          <w:lang w:eastAsia="bg-BG"/>
        </w:rPr>
      </w:pPr>
      <w:r w:rsidRPr="00145E9B">
        <w:rPr>
          <w:rFonts w:asciiTheme="majorHAnsi" w:eastAsia="Times New Roman" w:hAnsiTheme="majorHAnsi" w:cs="Arial"/>
          <w:sz w:val="24"/>
          <w:szCs w:val="24"/>
          <w:lang w:eastAsia="bg-BG"/>
        </w:rPr>
        <w:t xml:space="preserve">Мерките в Стратегията за ВОМР на СНЦ „МИГ Хисаря“ ще се финансират от ЕЗФРС и  са от СПРЗСР 2023 - 2027 с изключение на Мярка, съответстваща на целите на Регламент 2021/2115 </w:t>
      </w:r>
    </w:p>
    <w:p w14:paraId="73BFC382" w14:textId="5B37B701" w:rsidR="0037300E" w:rsidRPr="00145E9B" w:rsidRDefault="0037300E" w:rsidP="0037300E">
      <w:pPr>
        <w:spacing w:after="0" w:line="240" w:lineRule="auto"/>
        <w:jc w:val="both"/>
        <w:rPr>
          <w:rFonts w:asciiTheme="majorHAnsi" w:eastAsia="Times New Roman" w:hAnsiTheme="majorHAnsi" w:cs="Times New Roman"/>
          <w:color w:val="222222"/>
          <w:sz w:val="24"/>
          <w:szCs w:val="24"/>
          <w:lang w:eastAsia="bg-BG"/>
        </w:rPr>
      </w:pPr>
      <w:r w:rsidRPr="00145E9B">
        <w:rPr>
          <w:rFonts w:asciiTheme="majorHAnsi" w:eastAsia="Times New Roman" w:hAnsiTheme="majorHAnsi" w:cs="Times New Roman"/>
          <w:color w:val="222222"/>
          <w:sz w:val="24"/>
          <w:szCs w:val="24"/>
          <w:lang w:eastAsia="bg-BG"/>
        </w:rPr>
        <w:t>ж) Срокове и етапи на изготвянето на плана/програмата и наличие (нормативно регламентирано) на изискване за обществено обсъждане или друга процедурна форма за участие на обществеността</w:t>
      </w:r>
    </w:p>
    <w:p w14:paraId="70BA3DDD" w14:textId="77777777" w:rsidR="003C4CE5" w:rsidRPr="00145E9B" w:rsidRDefault="003C4CE5" w:rsidP="003C4CE5">
      <w:pPr>
        <w:spacing w:before="120" w:after="0"/>
        <w:jc w:val="both"/>
        <w:rPr>
          <w:rFonts w:asciiTheme="majorHAnsi" w:hAnsiTheme="majorHAnsi" w:cs="Times New Roman"/>
          <w:sz w:val="24"/>
          <w:szCs w:val="24"/>
          <w:shd w:val="clear" w:color="auto" w:fill="FEFEFE"/>
        </w:rPr>
      </w:pPr>
      <w:r w:rsidRPr="00145E9B">
        <w:rPr>
          <w:rFonts w:asciiTheme="majorHAnsi" w:hAnsiTheme="majorHAnsi" w:cs="Times New Roman"/>
          <w:sz w:val="24"/>
          <w:szCs w:val="24"/>
          <w:shd w:val="clear" w:color="auto" w:fill="FEFEFE"/>
        </w:rPr>
        <w:t>За постигане на висока степен на информираност, консултиране и задълбочаване на партньорството беше проведена всеобхватна информационна и обучителна кампания, която включваше следните дейности през 2023 и 2025 години.</w:t>
      </w:r>
    </w:p>
    <w:p w14:paraId="33E43295" w14:textId="77777777" w:rsidR="003C4CE5" w:rsidRPr="00145E9B" w:rsidRDefault="003C4CE5" w:rsidP="003C4CE5">
      <w:pPr>
        <w:spacing w:before="120" w:after="0"/>
        <w:jc w:val="both"/>
        <w:rPr>
          <w:rFonts w:asciiTheme="majorHAnsi" w:hAnsiTheme="majorHAnsi" w:cs="Times New Roman"/>
          <w:sz w:val="24"/>
          <w:szCs w:val="24"/>
          <w:shd w:val="clear" w:color="auto" w:fill="FEFEFE"/>
        </w:rPr>
      </w:pPr>
      <w:r w:rsidRPr="00145E9B">
        <w:rPr>
          <w:rFonts w:asciiTheme="majorHAnsi" w:hAnsiTheme="majorHAnsi" w:cs="Times New Roman"/>
          <w:sz w:val="24"/>
          <w:szCs w:val="24"/>
          <w:shd w:val="clear" w:color="auto" w:fill="FEFEFE"/>
        </w:rPr>
        <w:t xml:space="preserve">В процеса на разработване на стратегията през 2023 г. бяха проведени общо </w:t>
      </w:r>
      <w:r w:rsidRPr="00145E9B">
        <w:rPr>
          <w:rFonts w:asciiTheme="majorHAnsi" w:hAnsiTheme="majorHAnsi" w:cs="Times New Roman"/>
          <w:b/>
          <w:sz w:val="24"/>
          <w:szCs w:val="24"/>
          <w:shd w:val="clear" w:color="auto" w:fill="FEFEFE"/>
        </w:rPr>
        <w:t>3 информационни срещи</w:t>
      </w:r>
      <w:r w:rsidRPr="00145E9B">
        <w:rPr>
          <w:rFonts w:asciiTheme="majorHAnsi" w:hAnsiTheme="majorHAnsi" w:cs="Times New Roman"/>
          <w:sz w:val="24"/>
          <w:szCs w:val="24"/>
          <w:shd w:val="clear" w:color="auto" w:fill="FEFEFE"/>
        </w:rPr>
        <w:t xml:space="preserve"> с най-малко 20 участника  за запознаване на местната общност с подхода ВОМР и въвличане на заинтересованите страни с подготовката на Стратегията на МИГ. Беше представена информация за възможностите за финансиране на Стратегията чрез включване на финансов ресурс от СПРЗСР и от няколко оперативни програми.</w:t>
      </w:r>
    </w:p>
    <w:p w14:paraId="54755C2A" w14:textId="77777777" w:rsidR="003C4CE5" w:rsidRPr="00145E9B" w:rsidRDefault="003C4CE5" w:rsidP="003C4CE5">
      <w:pPr>
        <w:spacing w:before="120" w:after="0"/>
        <w:jc w:val="both"/>
        <w:rPr>
          <w:rFonts w:asciiTheme="majorHAnsi" w:hAnsiTheme="majorHAnsi" w:cs="Times New Roman"/>
          <w:sz w:val="24"/>
          <w:szCs w:val="24"/>
          <w:shd w:val="clear" w:color="auto" w:fill="FEFEFE"/>
        </w:rPr>
      </w:pPr>
      <w:r w:rsidRPr="00145E9B">
        <w:rPr>
          <w:rFonts w:asciiTheme="majorHAnsi" w:hAnsiTheme="majorHAnsi" w:cs="Times New Roman"/>
          <w:sz w:val="24"/>
          <w:szCs w:val="24"/>
          <w:shd w:val="clear" w:color="auto" w:fill="FEFEFE"/>
        </w:rPr>
        <w:lastRenderedPageBreak/>
        <w:t xml:space="preserve">На проведените </w:t>
      </w:r>
      <w:r w:rsidRPr="00145E9B">
        <w:rPr>
          <w:rFonts w:asciiTheme="majorHAnsi" w:hAnsiTheme="majorHAnsi" w:cs="Times New Roman"/>
          <w:b/>
          <w:sz w:val="24"/>
          <w:szCs w:val="24"/>
          <w:shd w:val="clear" w:color="auto" w:fill="FEFEFE"/>
        </w:rPr>
        <w:t>две еднодневни информационни конференции</w:t>
      </w:r>
      <w:r w:rsidRPr="00145E9B">
        <w:rPr>
          <w:rFonts w:asciiTheme="majorHAnsi" w:hAnsiTheme="majorHAnsi" w:cs="Times New Roman"/>
          <w:sz w:val="24"/>
          <w:szCs w:val="24"/>
          <w:shd w:val="clear" w:color="auto" w:fill="FEFEFE"/>
        </w:rPr>
        <w:t xml:space="preserve"> с най-малко 50 участника. В сградата на община Хисаря бяха отчетени нагласите на местните заинтересовани лица по отношение на източниците на финансиране на Стратегията: целите, които се очаква да бъдат постигнати в резултат на нейното изпълнение; мерките, които ще бъдат включени; критериите, които ще бъдат от особена важност при оценка и избор на проектите. В хода на конференциите беше представена и обсъдена цялостната стратегическа рамка на СВОМР.</w:t>
      </w:r>
    </w:p>
    <w:p w14:paraId="355D8F86" w14:textId="77777777" w:rsidR="003C4CE5" w:rsidRPr="00145E9B" w:rsidRDefault="003C4CE5" w:rsidP="003C4CE5">
      <w:pPr>
        <w:spacing w:before="120" w:after="0"/>
        <w:jc w:val="both"/>
        <w:rPr>
          <w:rFonts w:asciiTheme="majorHAnsi" w:hAnsiTheme="majorHAnsi" w:cs="Times New Roman"/>
          <w:sz w:val="24"/>
          <w:szCs w:val="24"/>
          <w:shd w:val="clear" w:color="auto" w:fill="FEFEFE"/>
        </w:rPr>
      </w:pPr>
      <w:r w:rsidRPr="00145E9B">
        <w:rPr>
          <w:rFonts w:asciiTheme="majorHAnsi" w:hAnsiTheme="majorHAnsi" w:cs="Times New Roman"/>
          <w:sz w:val="24"/>
          <w:szCs w:val="24"/>
          <w:shd w:val="clear" w:color="auto" w:fill="FEFEFE"/>
        </w:rPr>
        <w:t xml:space="preserve">Проведени са </w:t>
      </w:r>
      <w:r w:rsidRPr="00145E9B">
        <w:rPr>
          <w:rFonts w:asciiTheme="majorHAnsi" w:hAnsiTheme="majorHAnsi" w:cs="Times New Roman"/>
          <w:b/>
          <w:sz w:val="24"/>
          <w:szCs w:val="24"/>
          <w:shd w:val="clear" w:color="auto" w:fill="FEFEFE"/>
        </w:rPr>
        <w:t>две обучения</w:t>
      </w:r>
      <w:r w:rsidRPr="00145E9B">
        <w:rPr>
          <w:rFonts w:asciiTheme="majorHAnsi" w:hAnsiTheme="majorHAnsi" w:cs="Times New Roman"/>
          <w:sz w:val="24"/>
          <w:szCs w:val="24"/>
          <w:shd w:val="clear" w:color="auto" w:fill="FEFEFE"/>
        </w:rPr>
        <w:t xml:space="preserve"> на местни лидери и заинтересовани страни. Основна цел на проведените обучения беше информиране и изграждане на общностния капацитет в контекста на подхода ЛИДЕРИ/ВОМРО и СПРЗС.</w:t>
      </w:r>
    </w:p>
    <w:p w14:paraId="6157E078" w14:textId="77777777" w:rsidR="003C4CE5" w:rsidRPr="00145E9B" w:rsidRDefault="003C4CE5" w:rsidP="003C4CE5">
      <w:pPr>
        <w:spacing w:before="120" w:after="0"/>
        <w:jc w:val="both"/>
        <w:rPr>
          <w:rFonts w:asciiTheme="majorHAnsi" w:hAnsiTheme="majorHAnsi" w:cs="Times New Roman"/>
          <w:sz w:val="24"/>
          <w:szCs w:val="24"/>
          <w:shd w:val="clear" w:color="auto" w:fill="FEFEFE"/>
        </w:rPr>
      </w:pPr>
      <w:r w:rsidRPr="00145E9B">
        <w:rPr>
          <w:rFonts w:asciiTheme="majorHAnsi" w:hAnsiTheme="majorHAnsi" w:cs="Times New Roman"/>
          <w:sz w:val="24"/>
          <w:szCs w:val="24"/>
          <w:shd w:val="clear" w:color="auto" w:fill="FEFEFE"/>
        </w:rPr>
        <w:t xml:space="preserve">Във връзка с процедурата за прием на </w:t>
      </w:r>
      <w:r w:rsidRPr="00145E9B">
        <w:rPr>
          <w:rFonts w:asciiTheme="majorHAnsi" w:hAnsiTheme="majorHAnsi" w:cs="Times New Roman"/>
          <w:b/>
          <w:sz w:val="24"/>
          <w:szCs w:val="24"/>
          <w:shd w:val="clear" w:color="auto" w:fill="FEFEFE"/>
        </w:rPr>
        <w:t>Стратегическите планове през 2025 г.</w:t>
      </w:r>
      <w:r w:rsidRPr="00145E9B">
        <w:rPr>
          <w:rFonts w:asciiTheme="majorHAnsi" w:hAnsiTheme="majorHAnsi" w:cs="Times New Roman"/>
          <w:sz w:val="24"/>
          <w:szCs w:val="24"/>
          <w:shd w:val="clear" w:color="auto" w:fill="FEFEFE"/>
        </w:rPr>
        <w:t xml:space="preserve"> и настъпилите промени в изискванията при кандидатстване, се проведоха </w:t>
      </w:r>
      <w:r w:rsidRPr="00145E9B">
        <w:rPr>
          <w:rFonts w:asciiTheme="majorHAnsi" w:hAnsiTheme="majorHAnsi" w:cs="Times New Roman"/>
          <w:b/>
          <w:sz w:val="24"/>
          <w:szCs w:val="24"/>
          <w:shd w:val="clear" w:color="auto" w:fill="FEFEFE"/>
        </w:rPr>
        <w:t>общо 6 обществени обсъждания</w:t>
      </w:r>
      <w:r w:rsidRPr="00145E9B">
        <w:rPr>
          <w:rFonts w:asciiTheme="majorHAnsi" w:hAnsiTheme="majorHAnsi" w:cs="Times New Roman"/>
          <w:sz w:val="24"/>
          <w:szCs w:val="24"/>
          <w:shd w:val="clear" w:color="auto" w:fill="FEFEFE"/>
        </w:rPr>
        <w:t xml:space="preserve"> на Стратегията за ВОМР. Обхванати бяха всички населени места на територията на МИГ. По предварително определен график и те бяха, както следва: с. Мало Крушево, с. Беловица, с. Кръстевич ( 10.00 ч.), с. Красново (11.30 ч.), с. Старосел, с. Мътеница   - на 28.04.2025 г. ( 13.30 ч.); с. Паничери (10.00 ч.), с. Старо Железаре, с. Ново Железаре, с. Черничево (11.30 ч.), с. Михилци, гр. Хисаря. -  на 29.04.2025 г. ( 15.00 ч.).  На обществените обсъждания участие взеха съответно представители на: 1) местна власт, НПО, Уязвими групи, читалища; 2) земеделски стопани; 3) неземеделски бизнес и услуги ( микро предприятия, малки и средни фирми). Обсъжданията бяха проведени при силно изразен интерес от страна на местната общност. В хода на провежданите мероприятия пред широката общественост беше представен разработения проект на Стратегия за ВОМР, като на присъстващите беше дадена възможност да променят и допълват различни текстове от документа.</w:t>
      </w:r>
    </w:p>
    <w:p w14:paraId="034B3ECE" w14:textId="77777777" w:rsidR="003C4CE5" w:rsidRPr="00145E9B" w:rsidRDefault="003C4CE5" w:rsidP="003C4CE5">
      <w:pPr>
        <w:spacing w:before="120" w:after="0"/>
        <w:jc w:val="both"/>
        <w:rPr>
          <w:rFonts w:asciiTheme="majorHAnsi" w:hAnsiTheme="majorHAnsi" w:cs="Times New Roman"/>
          <w:sz w:val="24"/>
          <w:szCs w:val="24"/>
          <w:shd w:val="clear" w:color="auto" w:fill="FEFEFE"/>
        </w:rPr>
      </w:pPr>
      <w:r w:rsidRPr="00145E9B">
        <w:rPr>
          <w:rFonts w:asciiTheme="majorHAnsi" w:hAnsiTheme="majorHAnsi" w:cs="Times New Roman"/>
          <w:sz w:val="24"/>
          <w:szCs w:val="24"/>
          <w:shd w:val="clear" w:color="auto" w:fill="FEFEFE"/>
        </w:rPr>
        <w:t>В процеса на разработване на Стратегията за ВОМР на „ МИГ Хисаря“, в проведените обществени обсъждания и обучения бяха представени 80% от групите заинтересовани страни, идентифициране  в анализите. В резултат на проведените мащабни информационни кампании е постигната 100% информираност в МИГ и над 70% степен на информираност и консултиране на територията на община Хисаря.</w:t>
      </w:r>
    </w:p>
    <w:p w14:paraId="78B504D4" w14:textId="77777777" w:rsidR="003C4CE5" w:rsidRPr="00145E9B" w:rsidRDefault="003C4CE5" w:rsidP="003C4CE5">
      <w:pPr>
        <w:spacing w:before="120" w:after="0"/>
        <w:jc w:val="both"/>
        <w:rPr>
          <w:rFonts w:asciiTheme="majorHAnsi" w:hAnsiTheme="majorHAnsi" w:cs="Times New Roman"/>
          <w:b/>
          <w:sz w:val="24"/>
          <w:szCs w:val="24"/>
          <w:shd w:val="clear" w:color="auto" w:fill="FEFEFE"/>
        </w:rPr>
      </w:pPr>
      <w:r w:rsidRPr="00145E9B">
        <w:rPr>
          <w:rFonts w:asciiTheme="majorHAnsi" w:hAnsiTheme="majorHAnsi" w:cs="Times New Roman"/>
          <w:b/>
          <w:sz w:val="24"/>
          <w:szCs w:val="24"/>
          <w:shd w:val="clear" w:color="auto" w:fill="FEFEFE"/>
        </w:rPr>
        <w:t>На 12.05.2025 г. Общото събрание на Сдружението прие окончателният вариант на Стратегия за ВОМР на МИГ Хисаря за периода от 2023 до 2027 г.</w:t>
      </w:r>
    </w:p>
    <w:p w14:paraId="5387285C" w14:textId="77777777" w:rsidR="003C4CE5" w:rsidRPr="00145E9B" w:rsidRDefault="003C4CE5" w:rsidP="003C4CE5">
      <w:pPr>
        <w:jc w:val="both"/>
        <w:textAlignment w:val="center"/>
        <w:rPr>
          <w:rFonts w:asciiTheme="majorHAnsi" w:hAnsiTheme="majorHAnsi" w:cs="Times New Roman"/>
          <w:sz w:val="24"/>
          <w:szCs w:val="24"/>
        </w:rPr>
      </w:pPr>
      <w:r w:rsidRPr="00145E9B">
        <w:rPr>
          <w:rFonts w:asciiTheme="majorHAnsi" w:hAnsiTheme="majorHAnsi" w:cs="Times New Roman"/>
          <w:sz w:val="24"/>
          <w:szCs w:val="24"/>
        </w:rPr>
        <w:t xml:space="preserve">Стратегията за ВОМР е в пълно съответствие с Националната програма за развитие „България 2030“. Документът определя визията за развитие на България до 2030 г., три стратегически цели, за чието изпълнение групира пет области (оси) на развитие и 13 национални приоритета. Определени са 3 основни цели на националната политика за развитие: </w:t>
      </w:r>
      <w:bookmarkStart w:id="3" w:name="bookmark558"/>
      <w:bookmarkEnd w:id="3"/>
      <w:r w:rsidRPr="00145E9B">
        <w:rPr>
          <w:rFonts w:asciiTheme="majorHAnsi" w:hAnsiTheme="majorHAnsi" w:cs="Times New Roman"/>
          <w:sz w:val="24"/>
          <w:szCs w:val="24"/>
        </w:rPr>
        <w:t xml:space="preserve">Ускорено икономическо развитие; </w:t>
      </w:r>
      <w:bookmarkStart w:id="4" w:name="bookmark559"/>
      <w:bookmarkEnd w:id="4"/>
      <w:r w:rsidRPr="00145E9B">
        <w:rPr>
          <w:rFonts w:asciiTheme="majorHAnsi" w:hAnsiTheme="majorHAnsi" w:cs="Times New Roman"/>
          <w:sz w:val="24"/>
          <w:szCs w:val="24"/>
        </w:rPr>
        <w:t xml:space="preserve">Демографски подем; </w:t>
      </w:r>
      <w:bookmarkStart w:id="5" w:name="bookmark560"/>
      <w:bookmarkEnd w:id="5"/>
      <w:r w:rsidRPr="00145E9B">
        <w:rPr>
          <w:rFonts w:asciiTheme="majorHAnsi" w:hAnsiTheme="majorHAnsi" w:cs="Times New Roman"/>
          <w:sz w:val="24"/>
          <w:szCs w:val="24"/>
        </w:rPr>
        <w:t>Намаляване на неравенствата.</w:t>
      </w:r>
    </w:p>
    <w:p w14:paraId="03243F32" w14:textId="77777777" w:rsidR="003C4CE5" w:rsidRPr="00145E9B" w:rsidRDefault="003C4CE5" w:rsidP="003C4CE5">
      <w:pPr>
        <w:pStyle w:val="a5"/>
        <w:spacing w:line="276" w:lineRule="auto"/>
        <w:jc w:val="both"/>
        <w:rPr>
          <w:rFonts w:asciiTheme="majorHAnsi" w:hAnsiTheme="majorHAnsi"/>
          <w:sz w:val="24"/>
          <w:szCs w:val="24"/>
        </w:rPr>
      </w:pPr>
      <w:r w:rsidRPr="00145E9B">
        <w:rPr>
          <w:rFonts w:asciiTheme="majorHAnsi" w:hAnsiTheme="majorHAnsi"/>
          <w:sz w:val="24"/>
          <w:szCs w:val="24"/>
        </w:rPr>
        <w:t xml:space="preserve">Стратегията на „МИГ Хисаря“ е съобразена също така и с приетата визия, приоритети и цели, които определят рамката за реализация на Интегрираната териториална стратегия за развитие на Южен Централен район – </w:t>
      </w:r>
      <w:r w:rsidRPr="00145E9B">
        <w:rPr>
          <w:rFonts w:asciiTheme="majorHAnsi" w:hAnsiTheme="majorHAnsi"/>
          <w:bCs/>
          <w:sz w:val="24"/>
          <w:szCs w:val="24"/>
        </w:rPr>
        <w:t>„Южен Централен Район - привлекателно място за живеене, бизнес и туризъм, с по</w:t>
      </w:r>
      <w:r w:rsidRPr="00145E9B">
        <w:rPr>
          <w:rFonts w:asciiTheme="majorHAnsi" w:hAnsiTheme="majorHAnsi"/>
          <w:bCs/>
          <w:sz w:val="24"/>
          <w:szCs w:val="24"/>
        </w:rPr>
        <w:softHyphen/>
        <w:t>добри условия за комуникация и съхранено природно, и културно наследство”.</w:t>
      </w:r>
    </w:p>
    <w:p w14:paraId="2099189D" w14:textId="77777777" w:rsidR="003C4CE5" w:rsidRPr="00145E9B" w:rsidRDefault="003C4CE5" w:rsidP="003C4CE5">
      <w:pPr>
        <w:spacing w:before="120" w:after="0"/>
        <w:jc w:val="both"/>
        <w:rPr>
          <w:rFonts w:asciiTheme="majorHAnsi" w:hAnsiTheme="majorHAnsi" w:cs="Times New Roman"/>
          <w:sz w:val="24"/>
          <w:szCs w:val="24"/>
          <w:shd w:val="clear" w:color="auto" w:fill="FEFEFE"/>
        </w:rPr>
      </w:pPr>
      <w:r w:rsidRPr="00145E9B">
        <w:rPr>
          <w:rFonts w:asciiTheme="majorHAnsi" w:hAnsiTheme="majorHAnsi" w:cs="Times New Roman"/>
          <w:sz w:val="24"/>
          <w:szCs w:val="24"/>
          <w:shd w:val="clear" w:color="auto" w:fill="FEFEFE"/>
        </w:rPr>
        <w:t xml:space="preserve">При разработването на Стратегията на ВОМР на „Местна инициативна група – МИГ Хисаря“  се търсеха допирни точки с Интегрираният план за развитие на община Хисаря за периода </w:t>
      </w:r>
      <w:r w:rsidRPr="00145E9B">
        <w:rPr>
          <w:rFonts w:asciiTheme="majorHAnsi" w:hAnsiTheme="majorHAnsi" w:cs="Times New Roman"/>
          <w:sz w:val="24"/>
          <w:szCs w:val="24"/>
          <w:shd w:val="clear" w:color="auto" w:fill="FEFEFE"/>
        </w:rPr>
        <w:lastRenderedPageBreak/>
        <w:t>2021-2027 г. Целите на плана отразяват насоките за национално и регионално развитие, като ги пречупват през призмата на местния потенциал и съсредоточават върху решаването на конкретните проблеми на общината. Основа на дефинираните цели и приоритети е направеният социално-икономически и SWOT - анализ и разкритите основни специфики, проблеми и ключови фактори, стимулиращи и спъващи местното развитие.</w:t>
      </w:r>
    </w:p>
    <w:p w14:paraId="2C520266" w14:textId="77777777" w:rsidR="003C4CE5" w:rsidRPr="00145E9B" w:rsidRDefault="003C4CE5" w:rsidP="003C4CE5">
      <w:pPr>
        <w:spacing w:before="120" w:after="0"/>
        <w:jc w:val="both"/>
        <w:rPr>
          <w:rFonts w:asciiTheme="majorHAnsi" w:hAnsiTheme="majorHAnsi" w:cs="Times New Roman"/>
          <w:sz w:val="24"/>
          <w:szCs w:val="24"/>
          <w:shd w:val="clear" w:color="auto" w:fill="FEFEFE"/>
        </w:rPr>
      </w:pPr>
      <w:r w:rsidRPr="00145E9B">
        <w:rPr>
          <w:rFonts w:asciiTheme="majorHAnsi" w:hAnsiTheme="majorHAnsi" w:cs="Times New Roman"/>
          <w:sz w:val="24"/>
          <w:szCs w:val="24"/>
          <w:shd w:val="clear" w:color="auto" w:fill="FEFEFE"/>
        </w:rPr>
        <w:t>Планът за интегрирано развитие на община Хисаря за периода 2021-2027 г. поставя следните стратегически цели: Цел 1: Ускорено икономическо развитие, чрез ефективно използване на ресурсите и туристическия потенциал, привличане на инвестиции, иновации и нови технологии за повишаване на конкурентоспособността; цел 2: Демографски подем, насърчаване на образоването, социалното включване, духовното развитие, съхранени традиции и културно наследство; Цел 3: Интегрирано териториално развитие и намаляване на неравенствата, чрез комплексно подобряване на транспортната и цифрова свързаност и достъпност, обновяване на инфраструктурите, енергийната ефективност и опазване на околната среда.</w:t>
      </w:r>
    </w:p>
    <w:p w14:paraId="40FF6080" w14:textId="77777777" w:rsidR="003C4CE5" w:rsidRPr="00145E9B" w:rsidRDefault="003C4CE5" w:rsidP="003C4CE5">
      <w:pPr>
        <w:spacing w:after="0" w:line="240" w:lineRule="auto"/>
        <w:jc w:val="both"/>
        <w:rPr>
          <w:rFonts w:asciiTheme="majorHAnsi" w:hAnsiTheme="majorHAnsi" w:cs="Times New Roman"/>
          <w:sz w:val="24"/>
          <w:szCs w:val="24"/>
          <w:shd w:val="clear" w:color="auto" w:fill="FEFEFE"/>
        </w:rPr>
      </w:pPr>
      <w:r w:rsidRPr="00145E9B">
        <w:rPr>
          <w:rFonts w:asciiTheme="majorHAnsi" w:hAnsiTheme="majorHAnsi" w:cs="Times New Roman"/>
          <w:sz w:val="24"/>
          <w:szCs w:val="24"/>
          <w:shd w:val="clear" w:color="auto" w:fill="FEFEFE"/>
        </w:rPr>
        <w:t>Приоритетите, дефинирани в ПИРО са в съответствие с предвижданията на стратегическите документи от по-високо йерархично ниво, но съобразени със спецификите на общината и конкретните нужди и проблеми на целевата територия и нейните граждани.</w:t>
      </w:r>
    </w:p>
    <w:p w14:paraId="6B2C4DCF" w14:textId="77777777" w:rsidR="003C4CE5" w:rsidRPr="00145E9B" w:rsidRDefault="003C4CE5" w:rsidP="003C4CE5">
      <w:pPr>
        <w:spacing w:after="0" w:line="240" w:lineRule="auto"/>
        <w:jc w:val="both"/>
        <w:rPr>
          <w:rFonts w:asciiTheme="majorHAnsi" w:hAnsiTheme="majorHAnsi" w:cs="Times New Roman"/>
          <w:sz w:val="24"/>
          <w:szCs w:val="24"/>
          <w:shd w:val="clear" w:color="auto" w:fill="FEFEFE"/>
        </w:rPr>
      </w:pPr>
    </w:p>
    <w:p w14:paraId="1EBC568E" w14:textId="2025F4C8" w:rsidR="0037300E" w:rsidRPr="00145E9B" w:rsidRDefault="0037300E" w:rsidP="003C4CE5">
      <w:pPr>
        <w:spacing w:after="0" w:line="240" w:lineRule="auto"/>
        <w:jc w:val="both"/>
        <w:rPr>
          <w:rFonts w:asciiTheme="majorHAnsi" w:eastAsia="Times New Roman" w:hAnsiTheme="majorHAnsi" w:cs="Times New Roman"/>
          <w:color w:val="222222"/>
          <w:sz w:val="24"/>
          <w:szCs w:val="24"/>
          <w:lang w:eastAsia="bg-BG"/>
        </w:rPr>
      </w:pPr>
      <w:r w:rsidRPr="00145E9B">
        <w:rPr>
          <w:rFonts w:asciiTheme="majorHAnsi" w:eastAsia="Times New Roman" w:hAnsiTheme="majorHAnsi" w:cs="Times New Roman"/>
          <w:color w:val="222222"/>
          <w:sz w:val="24"/>
          <w:szCs w:val="24"/>
          <w:lang w:eastAsia="bg-BG"/>
        </w:rPr>
        <w:t>3. Информация за органа, отговорен за прилагането на плана/програмата</w:t>
      </w:r>
    </w:p>
    <w:p w14:paraId="7AC13734" w14:textId="736BD54F" w:rsidR="003C4CE5" w:rsidRPr="00145E9B" w:rsidRDefault="003C4CE5" w:rsidP="003C4CE5">
      <w:pPr>
        <w:autoSpaceDE w:val="0"/>
        <w:autoSpaceDN w:val="0"/>
        <w:adjustRightInd w:val="0"/>
        <w:spacing w:after="0" w:line="240" w:lineRule="auto"/>
        <w:ind w:right="141"/>
        <w:jc w:val="both"/>
        <w:rPr>
          <w:rFonts w:asciiTheme="majorHAnsi" w:eastAsia="Times New Roman" w:hAnsiTheme="majorHAnsi" w:cs="Arial"/>
          <w:sz w:val="24"/>
          <w:szCs w:val="24"/>
          <w:lang w:eastAsia="bg-BG"/>
        </w:rPr>
      </w:pPr>
      <w:r w:rsidRPr="00145E9B">
        <w:rPr>
          <w:rFonts w:asciiTheme="majorHAnsi" w:eastAsia="Times New Roman" w:hAnsiTheme="majorHAnsi" w:cs="Arial"/>
          <w:sz w:val="24"/>
          <w:szCs w:val="24"/>
          <w:lang w:eastAsia="bg-BG"/>
        </w:rPr>
        <w:t xml:space="preserve">Органа отговорен за прилагане на Стратегията за ВОМР  е Колективния управителен орган на СНЦ МИГ Хисаря, а именно Управителния съвет. Това му правомощие произтича от </w:t>
      </w:r>
      <w:r w:rsidR="00755B7D" w:rsidRPr="00145E9B">
        <w:rPr>
          <w:rFonts w:asciiTheme="majorHAnsi" w:eastAsia="Times New Roman" w:hAnsiTheme="majorHAnsi" w:cs="Arial"/>
          <w:sz w:val="24"/>
          <w:szCs w:val="24"/>
          <w:lang w:eastAsia="bg-BG"/>
        </w:rPr>
        <w:t xml:space="preserve">чл. 45, ал. 1, т.2 </w:t>
      </w:r>
      <w:r w:rsidRPr="00145E9B">
        <w:rPr>
          <w:rFonts w:asciiTheme="majorHAnsi" w:eastAsia="Times New Roman" w:hAnsiTheme="majorHAnsi" w:cs="Arial"/>
          <w:sz w:val="24"/>
          <w:szCs w:val="24"/>
          <w:lang w:eastAsia="bg-BG"/>
        </w:rPr>
        <w:t xml:space="preserve">на Устава на СНЦ „МИГ </w:t>
      </w:r>
      <w:r w:rsidR="00755B7D" w:rsidRPr="00145E9B">
        <w:rPr>
          <w:rFonts w:asciiTheme="majorHAnsi" w:eastAsia="Times New Roman" w:hAnsiTheme="majorHAnsi" w:cs="Arial"/>
          <w:sz w:val="24"/>
          <w:szCs w:val="24"/>
          <w:lang w:eastAsia="bg-BG"/>
        </w:rPr>
        <w:t>Хисаря</w:t>
      </w:r>
      <w:r w:rsidRPr="00145E9B">
        <w:rPr>
          <w:rFonts w:asciiTheme="majorHAnsi" w:eastAsia="Times New Roman" w:hAnsiTheme="majorHAnsi" w:cs="Arial"/>
          <w:sz w:val="24"/>
          <w:szCs w:val="24"/>
          <w:lang w:eastAsia="bg-BG"/>
        </w:rPr>
        <w:t>“</w:t>
      </w:r>
      <w:r w:rsidR="00755B7D" w:rsidRPr="00145E9B">
        <w:rPr>
          <w:rFonts w:asciiTheme="majorHAnsi" w:eastAsia="Times New Roman" w:hAnsiTheme="majorHAnsi" w:cs="Arial"/>
          <w:sz w:val="24"/>
          <w:szCs w:val="24"/>
          <w:lang w:eastAsia="bg-BG"/>
        </w:rPr>
        <w:t xml:space="preserve"> – Управителния съвет прилага одобрената от ОС Стратегия за ВОМР, актуализира я при необходимост и организира нейното изпълнение при спазване на нормативните изисквания и договорните задължения към финансиращите институции.</w:t>
      </w:r>
    </w:p>
    <w:p w14:paraId="10D95514" w14:textId="77777777" w:rsidR="003C4CE5" w:rsidRPr="00145E9B" w:rsidRDefault="003C4CE5" w:rsidP="003C4CE5">
      <w:pPr>
        <w:autoSpaceDE w:val="0"/>
        <w:autoSpaceDN w:val="0"/>
        <w:adjustRightInd w:val="0"/>
        <w:spacing w:after="0" w:line="240" w:lineRule="auto"/>
        <w:ind w:right="141"/>
        <w:jc w:val="both"/>
        <w:rPr>
          <w:rFonts w:asciiTheme="majorHAnsi" w:eastAsia="Times New Roman" w:hAnsiTheme="majorHAnsi" w:cs="Arial"/>
          <w:sz w:val="24"/>
          <w:szCs w:val="24"/>
          <w:lang w:eastAsia="bg-BG"/>
        </w:rPr>
      </w:pPr>
    </w:p>
    <w:p w14:paraId="3A514799" w14:textId="34068FA3" w:rsidR="0037300E" w:rsidRPr="00145E9B" w:rsidRDefault="0037300E" w:rsidP="0037300E">
      <w:pPr>
        <w:spacing w:after="0" w:line="240" w:lineRule="auto"/>
        <w:jc w:val="both"/>
        <w:rPr>
          <w:rFonts w:asciiTheme="majorHAnsi" w:eastAsia="Times New Roman" w:hAnsiTheme="majorHAnsi" w:cs="Times New Roman"/>
          <w:color w:val="222222"/>
          <w:sz w:val="24"/>
          <w:szCs w:val="24"/>
          <w:lang w:eastAsia="bg-BG"/>
        </w:rPr>
      </w:pPr>
      <w:r w:rsidRPr="00145E9B">
        <w:rPr>
          <w:rFonts w:asciiTheme="majorHAnsi" w:eastAsia="Times New Roman" w:hAnsiTheme="majorHAnsi" w:cs="Times New Roman"/>
          <w:color w:val="222222"/>
          <w:sz w:val="24"/>
          <w:szCs w:val="24"/>
          <w:lang w:eastAsia="bg-BG"/>
        </w:rPr>
        <w:t>4. Орган за приемане/одобряване/утвърждаване на плана/програмата</w:t>
      </w:r>
    </w:p>
    <w:p w14:paraId="34BEF21F" w14:textId="0C65B110" w:rsidR="00755B7D" w:rsidRPr="00145E9B" w:rsidRDefault="00755B7D" w:rsidP="0037300E">
      <w:pPr>
        <w:spacing w:after="0" w:line="240" w:lineRule="auto"/>
        <w:jc w:val="both"/>
        <w:rPr>
          <w:rFonts w:asciiTheme="majorHAnsi" w:eastAsia="Times New Roman" w:hAnsiTheme="majorHAnsi" w:cs="Arial"/>
          <w:sz w:val="24"/>
          <w:szCs w:val="24"/>
          <w:lang w:eastAsia="bg-BG"/>
        </w:rPr>
      </w:pPr>
      <w:r w:rsidRPr="00145E9B">
        <w:rPr>
          <w:rFonts w:asciiTheme="majorHAnsi" w:eastAsia="Times New Roman" w:hAnsiTheme="majorHAnsi" w:cs="Arial"/>
          <w:sz w:val="24"/>
          <w:szCs w:val="24"/>
          <w:lang w:eastAsia="bg-BG"/>
        </w:rPr>
        <w:t>Органа отговорен за одобряване на Стратегията за ВОМР с която да се кандидатства е колективния върховен орган на СНЦ МИГ Хисаря, а именно Общото събрание. Това му правомощие произтича от чл.29, ал.1, т.2  на Устава на СНЦ МИГ Хисаря – ОС одобрява Стратегия за ВОМР на МИГ Хисаря.</w:t>
      </w:r>
    </w:p>
    <w:p w14:paraId="7B06CEAA" w14:textId="77777777" w:rsidR="00755B7D" w:rsidRPr="00145E9B" w:rsidRDefault="00755B7D" w:rsidP="0037300E">
      <w:pPr>
        <w:spacing w:after="0" w:line="240" w:lineRule="auto"/>
        <w:jc w:val="both"/>
        <w:rPr>
          <w:rFonts w:asciiTheme="majorHAnsi" w:eastAsia="Times New Roman" w:hAnsiTheme="majorHAnsi" w:cs="Arial"/>
          <w:sz w:val="24"/>
          <w:szCs w:val="24"/>
          <w:lang w:eastAsia="bg-BG"/>
        </w:rPr>
      </w:pPr>
    </w:p>
    <w:p w14:paraId="5B349365" w14:textId="1C5B70E5" w:rsidR="0037300E" w:rsidRPr="00145E9B" w:rsidRDefault="0037300E" w:rsidP="0037300E">
      <w:pPr>
        <w:spacing w:after="0" w:line="240" w:lineRule="auto"/>
        <w:jc w:val="both"/>
        <w:rPr>
          <w:rFonts w:asciiTheme="majorHAnsi" w:eastAsia="Times New Roman" w:hAnsiTheme="majorHAnsi" w:cs="Times New Roman"/>
          <w:color w:val="222222"/>
          <w:sz w:val="24"/>
          <w:szCs w:val="24"/>
          <w:lang w:eastAsia="bg-BG"/>
        </w:rPr>
      </w:pPr>
      <w:r w:rsidRPr="00145E9B">
        <w:rPr>
          <w:rFonts w:asciiTheme="majorHAnsi" w:eastAsia="Times New Roman" w:hAnsiTheme="majorHAnsi" w:cs="Times New Roman"/>
          <w:color w:val="222222"/>
          <w:sz w:val="24"/>
          <w:szCs w:val="24"/>
          <w:lang w:eastAsia="bg-BG"/>
        </w:rPr>
        <w:t>5. (не е задължително за попълване)</w:t>
      </w:r>
    </w:p>
    <w:p w14:paraId="0B07693B" w14:textId="77777777" w:rsidR="0037300E" w:rsidRPr="00145E9B" w:rsidRDefault="0037300E" w:rsidP="0037300E">
      <w:pPr>
        <w:spacing w:after="0" w:line="240" w:lineRule="auto"/>
        <w:jc w:val="both"/>
        <w:rPr>
          <w:rFonts w:asciiTheme="majorHAnsi" w:eastAsia="Times New Roman" w:hAnsiTheme="majorHAnsi" w:cs="Times New Roman"/>
          <w:color w:val="222222"/>
          <w:sz w:val="24"/>
          <w:szCs w:val="24"/>
          <w:lang w:eastAsia="bg-BG"/>
        </w:rPr>
      </w:pPr>
      <w:r w:rsidRPr="00145E9B">
        <w:rPr>
          <w:rFonts w:asciiTheme="majorHAnsi" w:eastAsia="Times New Roman" w:hAnsiTheme="majorHAnsi" w:cs="Times New Roman"/>
          <w:color w:val="222222"/>
          <w:sz w:val="24"/>
          <w:szCs w:val="24"/>
          <w:lang w:eastAsia="bg-BG"/>
        </w:rPr>
        <w:t>Моля да бъде допуснато извършването само на екологична оценка (ЕО)/В случаите по чл. 91, ал. 2 от Закона за опазване на околната среда (ЗООС), когато за инвестиционно предложение, включено в приложение № 1 или в приложение № 2 към ЗООС, се изисква и изготвянето на самостоятелен план или програма по чл. 85, ал. 1 и 2 от ЗООС поради следните основания (мотиви):</w:t>
      </w:r>
    </w:p>
    <w:p w14:paraId="365CA040" w14:textId="77777777" w:rsidR="0037300E" w:rsidRPr="00145E9B" w:rsidRDefault="0037300E" w:rsidP="0037300E">
      <w:pPr>
        <w:spacing w:after="0" w:line="240" w:lineRule="auto"/>
        <w:jc w:val="both"/>
        <w:rPr>
          <w:rFonts w:asciiTheme="majorHAnsi" w:eastAsia="Times New Roman" w:hAnsiTheme="majorHAnsi" w:cs="Times New Roman"/>
          <w:color w:val="222222"/>
          <w:sz w:val="24"/>
          <w:szCs w:val="24"/>
          <w:lang w:eastAsia="bg-BG"/>
        </w:rPr>
      </w:pPr>
      <w:r w:rsidRPr="00145E9B">
        <w:rPr>
          <w:rFonts w:asciiTheme="majorHAnsi" w:eastAsia="Times New Roman" w:hAnsiTheme="majorHAnsi" w:cs="Times New Roman"/>
          <w:color w:val="222222"/>
          <w:sz w:val="24"/>
          <w:szCs w:val="24"/>
          <w:lang w:eastAsia="bg-BG"/>
        </w:rPr>
        <w:t>………………………………………………………………………………………………………..........………………………………………………………………………………………………………..........Приложение:</w:t>
      </w:r>
    </w:p>
    <w:p w14:paraId="1A7C8A59" w14:textId="77777777" w:rsidR="0037300E" w:rsidRPr="00145E9B" w:rsidRDefault="0037300E" w:rsidP="0037300E">
      <w:pPr>
        <w:spacing w:after="0" w:line="240" w:lineRule="auto"/>
        <w:jc w:val="both"/>
        <w:rPr>
          <w:rFonts w:asciiTheme="majorHAnsi" w:eastAsia="Times New Roman" w:hAnsiTheme="majorHAnsi" w:cs="Times New Roman"/>
          <w:color w:val="222222"/>
          <w:sz w:val="24"/>
          <w:szCs w:val="24"/>
          <w:lang w:eastAsia="bg-BG"/>
        </w:rPr>
      </w:pPr>
      <w:r w:rsidRPr="00145E9B">
        <w:rPr>
          <w:rFonts w:asciiTheme="majorHAnsi" w:eastAsia="Times New Roman" w:hAnsiTheme="majorHAnsi" w:cs="Times New Roman"/>
          <w:color w:val="222222"/>
          <w:sz w:val="24"/>
          <w:szCs w:val="24"/>
          <w:lang w:eastAsia="bg-BG"/>
        </w:rPr>
        <w:t>А. Информация по чл. 8а, ал. 2 от Наредбата за условията и реда за извършване на екологична оценка на планове и програми:</w:t>
      </w:r>
    </w:p>
    <w:p w14:paraId="36D43CAB" w14:textId="77777777" w:rsidR="0037300E" w:rsidRPr="00145E9B" w:rsidRDefault="0037300E" w:rsidP="0037300E">
      <w:pPr>
        <w:spacing w:after="0" w:line="240" w:lineRule="auto"/>
        <w:jc w:val="both"/>
        <w:rPr>
          <w:rFonts w:asciiTheme="majorHAnsi" w:eastAsia="Times New Roman" w:hAnsiTheme="majorHAnsi" w:cs="Times New Roman"/>
          <w:color w:val="222222"/>
          <w:sz w:val="24"/>
          <w:szCs w:val="24"/>
          <w:lang w:eastAsia="bg-BG"/>
        </w:rPr>
      </w:pPr>
      <w:r w:rsidRPr="00145E9B">
        <w:rPr>
          <w:rFonts w:asciiTheme="majorHAnsi" w:eastAsia="Times New Roman" w:hAnsiTheme="majorHAnsi" w:cs="Times New Roman"/>
          <w:color w:val="222222"/>
          <w:sz w:val="24"/>
          <w:szCs w:val="24"/>
          <w:lang w:eastAsia="bg-BG"/>
        </w:rPr>
        <w:t>1. Характеристика на плана/програмата относно:</w:t>
      </w:r>
    </w:p>
    <w:p w14:paraId="072838C7" w14:textId="77777777" w:rsidR="0037300E" w:rsidRPr="00145E9B" w:rsidRDefault="0037300E" w:rsidP="0037300E">
      <w:pPr>
        <w:spacing w:after="0" w:line="240" w:lineRule="auto"/>
        <w:jc w:val="both"/>
        <w:rPr>
          <w:rFonts w:asciiTheme="majorHAnsi" w:eastAsia="Times New Roman" w:hAnsiTheme="majorHAnsi" w:cs="Times New Roman"/>
          <w:color w:val="222222"/>
          <w:sz w:val="24"/>
          <w:szCs w:val="24"/>
          <w:lang w:eastAsia="bg-BG"/>
        </w:rPr>
      </w:pPr>
      <w:r w:rsidRPr="00145E9B">
        <w:rPr>
          <w:rFonts w:asciiTheme="majorHAnsi" w:eastAsia="Times New Roman" w:hAnsiTheme="majorHAnsi" w:cs="Times New Roman"/>
          <w:color w:val="222222"/>
          <w:sz w:val="24"/>
          <w:szCs w:val="24"/>
          <w:lang w:eastAsia="bg-BG"/>
        </w:rPr>
        <w:t>а) инвестиционните предложения по приложение № 1 към чл. 92, т. 1 и приложение № 2 към чл. 93, ал. 1, т. 1 и 2 към ЗООС и/или други инвестиционни предложения с предполагаемо значително въздействие върху околната среда, спрямо които предлаганият план/програма определя критерии, нормативи и други ръководни условия от значение за бъдещото им разрешаване или одобряване по отношение на местоположение, характер, мащабност и експлоатационни условия:</w:t>
      </w:r>
    </w:p>
    <w:p w14:paraId="04A8014D" w14:textId="77777777" w:rsidR="00755B7D" w:rsidRPr="00145E9B" w:rsidRDefault="00755B7D" w:rsidP="00755B7D">
      <w:pPr>
        <w:widowControl w:val="0"/>
        <w:autoSpaceDE w:val="0"/>
        <w:autoSpaceDN w:val="0"/>
        <w:adjustRightInd w:val="0"/>
        <w:spacing w:before="100" w:beforeAutospacing="1" w:after="100" w:afterAutospacing="1" w:line="240" w:lineRule="auto"/>
        <w:jc w:val="both"/>
        <w:rPr>
          <w:rFonts w:asciiTheme="majorHAnsi" w:eastAsia="Times New Roman" w:hAnsiTheme="majorHAnsi" w:cs="Arial"/>
          <w:sz w:val="24"/>
          <w:szCs w:val="24"/>
          <w:lang w:eastAsia="bg-BG"/>
        </w:rPr>
      </w:pPr>
      <w:r w:rsidRPr="00145E9B">
        <w:rPr>
          <w:rFonts w:asciiTheme="majorHAnsi" w:eastAsia="Times New Roman" w:hAnsiTheme="majorHAnsi" w:cs="Arial"/>
          <w:sz w:val="24"/>
          <w:szCs w:val="24"/>
          <w:lang w:eastAsia="bg-BG"/>
        </w:rPr>
        <w:t xml:space="preserve">На етапа на разработване на стратегията не се идентифицират конкретни инвестиционни </w:t>
      </w:r>
      <w:r w:rsidRPr="00145E9B">
        <w:rPr>
          <w:rFonts w:asciiTheme="majorHAnsi" w:eastAsia="Times New Roman" w:hAnsiTheme="majorHAnsi" w:cs="Arial"/>
          <w:sz w:val="24"/>
          <w:szCs w:val="24"/>
          <w:lang w:eastAsia="bg-BG"/>
        </w:rPr>
        <w:lastRenderedPageBreak/>
        <w:t>предложения по Приложения № 1 и № 2 на ЗООС. За да отговарят на условия за допустимост, стратегията за ВОМР предвижда инвестиционните проекти да се предхождат от оценка на очакваното въздействие върху околната среда, когато инвестицията е вероятно да има отрицателни последици за околната среда. В случай на дейности, които включват инвестиционна подкрепа, задължително ще се изисква положително решение за оценка за въздействието върху околната среда (ОВОС), освен в случаите, когато такава не се изисква от Закона за опазване на околната среда. Проектите, попадащи в територии от Натура 2000, преди одобрението им ще бъдат проверявани за съответствие с разпоредбите на Закона за биологичното разнообразие и съответните подзаконови нормативни актове за неговото прилагане.</w:t>
      </w:r>
    </w:p>
    <w:p w14:paraId="3C468ACA" w14:textId="0B358521" w:rsidR="00755B7D" w:rsidRPr="00145E9B" w:rsidRDefault="00755B7D" w:rsidP="00755B7D">
      <w:pPr>
        <w:spacing w:before="120" w:after="120"/>
        <w:ind w:right="141"/>
        <w:jc w:val="both"/>
        <w:rPr>
          <w:rFonts w:asciiTheme="majorHAnsi" w:eastAsia="Times New Roman" w:hAnsiTheme="majorHAnsi" w:cs="Arial"/>
          <w:b/>
          <w:bCs/>
          <w:sz w:val="24"/>
          <w:szCs w:val="24"/>
          <w:lang w:eastAsia="bg-BG"/>
        </w:rPr>
      </w:pPr>
      <w:r w:rsidRPr="00145E9B">
        <w:rPr>
          <w:rFonts w:asciiTheme="majorHAnsi" w:eastAsia="Times New Roman" w:hAnsiTheme="majorHAnsi" w:cs="Arial"/>
          <w:sz w:val="24"/>
          <w:szCs w:val="24"/>
          <w:lang w:eastAsia="bg-BG"/>
        </w:rPr>
        <w:t xml:space="preserve">СВОМР на СНЦ „МИГ Хисаря“ е изготвена по  УСЛОВИЯ ЗА КАНДИДАТСТВАНЕ за предоставяне на безвъзмездна финансова помощ по процедура № </w:t>
      </w:r>
      <w:r w:rsidRPr="00145E9B">
        <w:rPr>
          <w:rFonts w:asciiTheme="majorHAnsi" w:eastAsia="Times New Roman" w:hAnsiTheme="majorHAnsi" w:cs="Arial"/>
          <w:sz w:val="24"/>
          <w:szCs w:val="24"/>
          <w:lang w:val="en-US" w:eastAsia="bg-BG"/>
        </w:rPr>
        <w:t>BG</w:t>
      </w:r>
      <w:r w:rsidRPr="00145E9B">
        <w:rPr>
          <w:rFonts w:asciiTheme="majorHAnsi" w:eastAsia="Times New Roman" w:hAnsiTheme="majorHAnsi" w:cs="Arial"/>
          <w:sz w:val="24"/>
          <w:szCs w:val="24"/>
          <w:lang w:eastAsia="bg-BG"/>
        </w:rPr>
        <w:t>06</w:t>
      </w:r>
      <w:r w:rsidRPr="00145E9B">
        <w:rPr>
          <w:rFonts w:asciiTheme="majorHAnsi" w:eastAsia="Times New Roman" w:hAnsiTheme="majorHAnsi" w:cs="Arial"/>
          <w:sz w:val="24"/>
          <w:szCs w:val="24"/>
          <w:lang w:val="en-US" w:eastAsia="bg-BG"/>
        </w:rPr>
        <w:t>AFSP</w:t>
      </w:r>
      <w:r w:rsidRPr="00145E9B">
        <w:rPr>
          <w:rFonts w:asciiTheme="majorHAnsi" w:eastAsia="Times New Roman" w:hAnsiTheme="majorHAnsi" w:cs="Arial"/>
          <w:sz w:val="24"/>
          <w:szCs w:val="24"/>
          <w:lang w:eastAsia="bg-BG"/>
        </w:rPr>
        <w:t xml:space="preserve">001-01.001 по интервенция „Изпълнение на операции, включително дейности за сътрудничество и тяхната подготовка, избрани в рамките на стратегията за местно развитие“ от Стратегическия план за развитие на земеделието и селските райони на Република България за периода 2023 – 2027 г. и </w:t>
      </w:r>
      <w:r w:rsidRPr="00145E9B">
        <w:rPr>
          <w:rFonts w:asciiTheme="majorHAnsi" w:eastAsia="Times New Roman" w:hAnsiTheme="majorHAnsi" w:cs="Arial"/>
          <w:b/>
          <w:bCs/>
          <w:sz w:val="24"/>
          <w:szCs w:val="24"/>
          <w:lang w:eastAsia="bg-BG"/>
        </w:rPr>
        <w:t>е изцяло съобразена със СПРЗСР, за който е проведена процедура по екологична оценка.</w:t>
      </w:r>
    </w:p>
    <w:p w14:paraId="2D16D6CD" w14:textId="5A065667" w:rsidR="0037300E" w:rsidRPr="00145E9B" w:rsidRDefault="0037300E" w:rsidP="0037300E">
      <w:pPr>
        <w:spacing w:after="0" w:line="240" w:lineRule="auto"/>
        <w:jc w:val="both"/>
        <w:rPr>
          <w:rFonts w:asciiTheme="majorHAnsi" w:eastAsia="Times New Roman" w:hAnsiTheme="majorHAnsi" w:cs="Times New Roman"/>
          <w:color w:val="222222"/>
          <w:sz w:val="24"/>
          <w:szCs w:val="24"/>
          <w:lang w:eastAsia="bg-BG"/>
        </w:rPr>
      </w:pPr>
      <w:r w:rsidRPr="00145E9B">
        <w:rPr>
          <w:rFonts w:asciiTheme="majorHAnsi" w:eastAsia="Times New Roman" w:hAnsiTheme="majorHAnsi" w:cs="Times New Roman"/>
          <w:color w:val="222222"/>
          <w:sz w:val="24"/>
          <w:szCs w:val="24"/>
          <w:lang w:eastAsia="bg-BG"/>
        </w:rPr>
        <w:t>б) мястото на предлагания план/програма в цялостния процес или йерархия на планиране и степен, до която планът/програмата влияе върху други планове и програми:</w:t>
      </w:r>
    </w:p>
    <w:p w14:paraId="48E4B84D" w14:textId="7FBF2269" w:rsidR="003C3AB7" w:rsidRPr="00145E9B" w:rsidRDefault="00755B7D" w:rsidP="0037300E">
      <w:pPr>
        <w:spacing w:after="0" w:line="240" w:lineRule="auto"/>
        <w:jc w:val="both"/>
        <w:rPr>
          <w:rFonts w:asciiTheme="majorHAnsi" w:eastAsia="Times New Roman" w:hAnsiTheme="majorHAnsi" w:cs="Times New Roman"/>
          <w:color w:val="222222"/>
          <w:sz w:val="24"/>
          <w:szCs w:val="24"/>
          <w:lang w:eastAsia="bg-BG"/>
        </w:rPr>
      </w:pPr>
      <w:r w:rsidRPr="00145E9B">
        <w:rPr>
          <w:rFonts w:asciiTheme="majorHAnsi" w:eastAsia="Times New Roman" w:hAnsiTheme="majorHAnsi" w:cs="Arial"/>
          <w:sz w:val="24"/>
          <w:szCs w:val="24"/>
          <w:lang w:eastAsia="bg-BG"/>
        </w:rPr>
        <w:t xml:space="preserve">Стратегията за Водено от общностите местно развитие на МИГ Хисаря, нейните цели и приоритети са в съответствие с целите и приоритетите, залегнали в Плана за интегрирано развитие на община Хисаря за периода 2021-2027 г., както и с тези на </w:t>
      </w:r>
      <w:r w:rsidR="003C3AB7" w:rsidRPr="00145E9B">
        <w:rPr>
          <w:rFonts w:asciiTheme="majorHAnsi" w:eastAsia="Times New Roman" w:hAnsiTheme="majorHAnsi" w:cs="Arial"/>
          <w:sz w:val="24"/>
          <w:szCs w:val="24"/>
          <w:lang w:eastAsia="bg-BG"/>
        </w:rPr>
        <w:t xml:space="preserve">Интегрираната териториална стратегия за развитие на Южен Централен район </w:t>
      </w:r>
      <w:r w:rsidRPr="00145E9B">
        <w:rPr>
          <w:rFonts w:asciiTheme="majorHAnsi" w:eastAsia="Times New Roman" w:hAnsiTheme="majorHAnsi" w:cs="Arial"/>
          <w:sz w:val="24"/>
          <w:szCs w:val="24"/>
          <w:lang w:eastAsia="bg-BG"/>
        </w:rPr>
        <w:t>за периода 2021-2027 г., като същевременно допълват цитираните документи съобразявайки се със спецификата и нуждите  на територията</w:t>
      </w:r>
    </w:p>
    <w:p w14:paraId="7411CA9B" w14:textId="77777777" w:rsidR="003C3AB7" w:rsidRPr="00145E9B" w:rsidRDefault="003C3AB7" w:rsidP="0037300E">
      <w:pPr>
        <w:spacing w:after="0" w:line="240" w:lineRule="auto"/>
        <w:jc w:val="both"/>
        <w:rPr>
          <w:rFonts w:asciiTheme="majorHAnsi" w:eastAsia="Times New Roman" w:hAnsiTheme="majorHAnsi" w:cs="Times New Roman"/>
          <w:color w:val="222222"/>
          <w:sz w:val="24"/>
          <w:szCs w:val="24"/>
          <w:lang w:eastAsia="bg-BG"/>
        </w:rPr>
      </w:pPr>
    </w:p>
    <w:p w14:paraId="603B4C44" w14:textId="097F4F4C" w:rsidR="0037300E" w:rsidRPr="00145E9B" w:rsidRDefault="0037300E" w:rsidP="0037300E">
      <w:pPr>
        <w:spacing w:after="0" w:line="240" w:lineRule="auto"/>
        <w:jc w:val="both"/>
        <w:rPr>
          <w:rFonts w:asciiTheme="majorHAnsi" w:eastAsia="Times New Roman" w:hAnsiTheme="majorHAnsi" w:cs="Times New Roman"/>
          <w:color w:val="222222"/>
          <w:sz w:val="24"/>
          <w:szCs w:val="24"/>
          <w:lang w:eastAsia="bg-BG"/>
        </w:rPr>
      </w:pPr>
      <w:r w:rsidRPr="00145E9B">
        <w:rPr>
          <w:rFonts w:asciiTheme="majorHAnsi" w:eastAsia="Times New Roman" w:hAnsiTheme="majorHAnsi" w:cs="Times New Roman"/>
          <w:color w:val="222222"/>
          <w:sz w:val="24"/>
          <w:szCs w:val="24"/>
          <w:lang w:eastAsia="bg-BG"/>
        </w:rPr>
        <w:t>в) значение на плана/програмата за интегрирането на екологичните съображения, особено с оглед насърчаването на устойчиво развитие:</w:t>
      </w:r>
    </w:p>
    <w:p w14:paraId="68E0C500" w14:textId="77777777" w:rsidR="003C3AB7" w:rsidRPr="00145E9B" w:rsidRDefault="003C3AB7" w:rsidP="003C3AB7">
      <w:pPr>
        <w:jc w:val="both"/>
        <w:rPr>
          <w:rFonts w:asciiTheme="majorHAnsi" w:eastAsia="Times New Roman" w:hAnsiTheme="majorHAnsi" w:cs="Arial"/>
          <w:sz w:val="24"/>
          <w:szCs w:val="24"/>
          <w:lang w:eastAsia="bg-BG"/>
        </w:rPr>
      </w:pPr>
      <w:r w:rsidRPr="00145E9B">
        <w:rPr>
          <w:rFonts w:asciiTheme="majorHAnsi" w:eastAsia="Times New Roman" w:hAnsiTheme="majorHAnsi" w:cs="Arial"/>
          <w:sz w:val="24"/>
          <w:szCs w:val="24"/>
          <w:lang w:eastAsia="bg-BG"/>
        </w:rPr>
        <w:t xml:space="preserve">Спазването на този принципа за устойчиво развитие по отношение на околната среда ще бъде отчитан и при вземане на решение за подкрепа на конкретните бенефициенти, като се гарантира, че проектите ще бъдат подпомогнати при условие, че нямат значително отрицателно въздействие върху околната среда, както и че допринасят за засилване на социалната, икономическа и екологична устойчивост на територията. </w:t>
      </w:r>
    </w:p>
    <w:p w14:paraId="235FD7B5" w14:textId="77777777" w:rsidR="003C3AB7" w:rsidRPr="00145E9B" w:rsidRDefault="003C3AB7" w:rsidP="003C3AB7">
      <w:pPr>
        <w:jc w:val="both"/>
        <w:rPr>
          <w:rFonts w:asciiTheme="majorHAnsi" w:eastAsia="Times New Roman" w:hAnsiTheme="majorHAnsi" w:cs="Arial"/>
          <w:sz w:val="24"/>
          <w:szCs w:val="24"/>
          <w:lang w:eastAsia="bg-BG"/>
        </w:rPr>
      </w:pPr>
      <w:r w:rsidRPr="00145E9B">
        <w:rPr>
          <w:rFonts w:asciiTheme="majorHAnsi" w:eastAsia="Times New Roman" w:hAnsiTheme="majorHAnsi" w:cs="Arial"/>
          <w:sz w:val="24"/>
          <w:szCs w:val="24"/>
          <w:lang w:eastAsia="bg-BG"/>
        </w:rPr>
        <w:t xml:space="preserve">Оценката на изпълнението на Стратегията за ВОМР и нейният текущ мониторинг ще отчитат изпълнението на политиката за устойчиво развитие на територията на МИГ Хисаря </w:t>
      </w:r>
    </w:p>
    <w:p w14:paraId="5DE9A5B7" w14:textId="5E349C5F" w:rsidR="0037300E" w:rsidRPr="00145E9B" w:rsidRDefault="0037300E" w:rsidP="003C3AB7">
      <w:pPr>
        <w:jc w:val="both"/>
        <w:rPr>
          <w:rFonts w:asciiTheme="majorHAnsi" w:eastAsia="Times New Roman" w:hAnsiTheme="majorHAnsi" w:cs="Times New Roman"/>
          <w:color w:val="222222"/>
          <w:sz w:val="24"/>
          <w:szCs w:val="24"/>
          <w:lang w:eastAsia="bg-BG"/>
        </w:rPr>
      </w:pPr>
      <w:r w:rsidRPr="00145E9B">
        <w:rPr>
          <w:rFonts w:asciiTheme="majorHAnsi" w:eastAsia="Times New Roman" w:hAnsiTheme="majorHAnsi" w:cs="Times New Roman"/>
          <w:color w:val="222222"/>
          <w:sz w:val="24"/>
          <w:szCs w:val="24"/>
          <w:lang w:eastAsia="bg-BG"/>
        </w:rPr>
        <w:t>г) екологични проблеми от значение за плана/програмата:</w:t>
      </w:r>
    </w:p>
    <w:p w14:paraId="6B05A125" w14:textId="77777777" w:rsidR="003C3AB7" w:rsidRPr="00145E9B" w:rsidRDefault="003C3AB7" w:rsidP="003C3AB7">
      <w:pPr>
        <w:widowControl w:val="0"/>
        <w:autoSpaceDE w:val="0"/>
        <w:autoSpaceDN w:val="0"/>
        <w:adjustRightInd w:val="0"/>
        <w:spacing w:before="100" w:beforeAutospacing="1" w:after="100" w:afterAutospacing="1" w:line="240" w:lineRule="auto"/>
        <w:rPr>
          <w:rFonts w:asciiTheme="majorHAnsi" w:eastAsia="Times New Roman" w:hAnsiTheme="majorHAnsi" w:cs="Arial"/>
          <w:sz w:val="20"/>
          <w:szCs w:val="20"/>
          <w:lang w:eastAsia="bg-BG"/>
        </w:rPr>
      </w:pPr>
      <w:r w:rsidRPr="00145E9B">
        <w:rPr>
          <w:rFonts w:asciiTheme="majorHAnsi" w:eastAsia="Times New Roman" w:hAnsiTheme="majorHAnsi" w:cs="Arial"/>
          <w:sz w:val="24"/>
          <w:szCs w:val="24"/>
          <w:lang w:eastAsia="bg-BG"/>
        </w:rPr>
        <w:t>Не са налични</w:t>
      </w:r>
    </w:p>
    <w:p w14:paraId="67875597" w14:textId="0145888F" w:rsidR="0037300E" w:rsidRPr="00145E9B" w:rsidRDefault="0037300E" w:rsidP="0037300E">
      <w:pPr>
        <w:spacing w:after="0" w:line="240" w:lineRule="auto"/>
        <w:jc w:val="both"/>
        <w:rPr>
          <w:rFonts w:asciiTheme="majorHAnsi" w:eastAsia="Times New Roman" w:hAnsiTheme="majorHAnsi" w:cs="Times New Roman"/>
          <w:color w:val="222222"/>
          <w:sz w:val="24"/>
          <w:szCs w:val="24"/>
          <w:lang w:eastAsia="bg-BG"/>
        </w:rPr>
      </w:pPr>
      <w:r w:rsidRPr="00145E9B">
        <w:rPr>
          <w:rFonts w:asciiTheme="majorHAnsi" w:eastAsia="Times New Roman" w:hAnsiTheme="majorHAnsi" w:cs="Times New Roman"/>
          <w:color w:val="222222"/>
          <w:sz w:val="24"/>
          <w:szCs w:val="24"/>
          <w:lang w:eastAsia="bg-BG"/>
        </w:rPr>
        <w:t>д) значение на плана/програмата за изпълнението на общностното законодателство в областта на околната среда:</w:t>
      </w:r>
    </w:p>
    <w:p w14:paraId="2F3C05E0" w14:textId="77777777" w:rsidR="003C3AB7" w:rsidRPr="00145E9B" w:rsidRDefault="003C3AB7" w:rsidP="003C3AB7">
      <w:pPr>
        <w:jc w:val="both"/>
        <w:rPr>
          <w:rFonts w:asciiTheme="majorHAnsi" w:eastAsia="Times New Roman" w:hAnsiTheme="majorHAnsi" w:cs="Arial"/>
          <w:sz w:val="24"/>
          <w:szCs w:val="24"/>
          <w:lang w:eastAsia="bg-BG"/>
        </w:rPr>
      </w:pPr>
      <w:r w:rsidRPr="00145E9B">
        <w:rPr>
          <w:rFonts w:asciiTheme="majorHAnsi" w:eastAsia="Times New Roman" w:hAnsiTheme="majorHAnsi" w:cs="Arial"/>
          <w:sz w:val="24"/>
          <w:szCs w:val="24"/>
          <w:lang w:eastAsia="bg-BG"/>
        </w:rPr>
        <w:t xml:space="preserve">Когато дейностите включват инвестиционна подкрепа, задължително ще се изисква положително решение за оценка за въздействието върху околната среда (ОВОС), освен в случаите, когато такава не се изисква от Закона за опазване на околната среда. В мерките, насочени към подпомагане на земеделските стопанства и фирмите на територията се дава приоритет на инвестиции целящи устойчиво използване на ресурсите, опазване на </w:t>
      </w:r>
      <w:r w:rsidRPr="00145E9B">
        <w:rPr>
          <w:rFonts w:asciiTheme="majorHAnsi" w:eastAsia="Times New Roman" w:hAnsiTheme="majorHAnsi" w:cs="Arial"/>
          <w:sz w:val="24"/>
          <w:szCs w:val="24"/>
          <w:lang w:eastAsia="bg-BG"/>
        </w:rPr>
        <w:lastRenderedPageBreak/>
        <w:t>околната среда и отчитане адаптирането към климатичните промени. Тези принципи са гарантирани чрез обективните критерии за оценка на проектите.</w:t>
      </w:r>
    </w:p>
    <w:p w14:paraId="2CBA2BCE" w14:textId="77777777" w:rsidR="003C3AB7" w:rsidRPr="00145E9B" w:rsidRDefault="003C3AB7" w:rsidP="003C3AB7">
      <w:pPr>
        <w:jc w:val="both"/>
        <w:rPr>
          <w:rFonts w:asciiTheme="majorHAnsi" w:eastAsia="Times New Roman" w:hAnsiTheme="majorHAnsi" w:cs="Arial"/>
          <w:sz w:val="24"/>
          <w:szCs w:val="24"/>
          <w:lang w:eastAsia="bg-BG"/>
        </w:rPr>
      </w:pPr>
      <w:r w:rsidRPr="00145E9B">
        <w:rPr>
          <w:rFonts w:asciiTheme="majorHAnsi" w:eastAsia="Times New Roman" w:hAnsiTheme="majorHAnsi" w:cs="Arial"/>
          <w:sz w:val="24"/>
          <w:szCs w:val="24"/>
          <w:lang w:eastAsia="bg-BG"/>
        </w:rPr>
        <w:t>Всички проекти, попадащи в територии от Натура 2000, преди одобрението им ще бъдат проверявани за съответствие с разпоредбите на Закона за биологичното разнообразие и съответните подзаконови нормативни актове за неговото прилагане, както и предвидените ограничения в решенията за определяне на местата и плановете за управлението им.</w:t>
      </w:r>
    </w:p>
    <w:p w14:paraId="4DEB6236" w14:textId="0D0C62EE" w:rsidR="0037300E" w:rsidRPr="00145E9B" w:rsidRDefault="0037300E" w:rsidP="0037300E">
      <w:pPr>
        <w:spacing w:after="0" w:line="240" w:lineRule="auto"/>
        <w:jc w:val="both"/>
        <w:rPr>
          <w:rFonts w:asciiTheme="majorHAnsi" w:eastAsia="Times New Roman" w:hAnsiTheme="majorHAnsi" w:cs="Times New Roman"/>
          <w:color w:val="222222"/>
          <w:sz w:val="24"/>
          <w:szCs w:val="24"/>
          <w:lang w:eastAsia="bg-BG"/>
        </w:rPr>
      </w:pPr>
      <w:r w:rsidRPr="00145E9B">
        <w:rPr>
          <w:rFonts w:asciiTheme="majorHAnsi" w:eastAsia="Times New Roman" w:hAnsiTheme="majorHAnsi" w:cs="Times New Roman"/>
          <w:color w:val="222222"/>
          <w:sz w:val="24"/>
          <w:szCs w:val="24"/>
          <w:lang w:eastAsia="bg-BG"/>
        </w:rPr>
        <w:t>е) наличие на алтернативи:</w:t>
      </w:r>
    </w:p>
    <w:p w14:paraId="275530D7" w14:textId="77777777" w:rsidR="003C3AB7" w:rsidRPr="00145E9B" w:rsidRDefault="003C3AB7" w:rsidP="003C3AB7">
      <w:pPr>
        <w:widowControl w:val="0"/>
        <w:autoSpaceDE w:val="0"/>
        <w:autoSpaceDN w:val="0"/>
        <w:adjustRightInd w:val="0"/>
        <w:spacing w:before="100" w:beforeAutospacing="1" w:after="100" w:afterAutospacing="1" w:line="240" w:lineRule="auto"/>
        <w:rPr>
          <w:rFonts w:asciiTheme="majorHAnsi" w:eastAsia="Times New Roman" w:hAnsiTheme="majorHAnsi" w:cs="Arial"/>
          <w:sz w:val="20"/>
          <w:szCs w:val="20"/>
          <w:lang w:eastAsia="bg-BG"/>
        </w:rPr>
      </w:pPr>
      <w:r w:rsidRPr="00145E9B">
        <w:rPr>
          <w:rFonts w:asciiTheme="majorHAnsi" w:eastAsia="Times New Roman" w:hAnsiTheme="majorHAnsi" w:cs="Arial"/>
          <w:sz w:val="24"/>
          <w:szCs w:val="24"/>
          <w:lang w:eastAsia="bg-BG"/>
        </w:rPr>
        <w:t>Неприложимо</w:t>
      </w:r>
    </w:p>
    <w:p w14:paraId="5A23A215" w14:textId="5FC518CC" w:rsidR="0037300E" w:rsidRPr="00145E9B" w:rsidRDefault="0037300E" w:rsidP="0037300E">
      <w:pPr>
        <w:spacing w:after="0" w:line="240" w:lineRule="auto"/>
        <w:jc w:val="both"/>
        <w:rPr>
          <w:rFonts w:asciiTheme="majorHAnsi" w:eastAsia="Times New Roman" w:hAnsiTheme="majorHAnsi" w:cs="Times New Roman"/>
          <w:color w:val="222222"/>
          <w:sz w:val="24"/>
          <w:szCs w:val="24"/>
          <w:lang w:eastAsia="bg-BG"/>
        </w:rPr>
      </w:pPr>
      <w:r w:rsidRPr="00145E9B">
        <w:rPr>
          <w:rFonts w:asciiTheme="majorHAnsi" w:eastAsia="Times New Roman" w:hAnsiTheme="majorHAnsi" w:cs="Times New Roman"/>
          <w:color w:val="222222"/>
          <w:sz w:val="24"/>
          <w:szCs w:val="24"/>
          <w:lang w:eastAsia="bg-BG"/>
        </w:rPr>
        <w:t>2. Обосновка на конкретната необходимост от изготвянето на плана/програмата:</w:t>
      </w:r>
    </w:p>
    <w:p w14:paraId="0D04A035" w14:textId="070D96E4" w:rsidR="003C3AB7" w:rsidRPr="00145E9B" w:rsidRDefault="003C3AB7" w:rsidP="003C3AB7">
      <w:pPr>
        <w:widowControl w:val="0"/>
        <w:autoSpaceDE w:val="0"/>
        <w:autoSpaceDN w:val="0"/>
        <w:adjustRightInd w:val="0"/>
        <w:spacing w:before="100" w:beforeAutospacing="1" w:after="100" w:afterAutospacing="1" w:line="240" w:lineRule="auto"/>
        <w:jc w:val="both"/>
        <w:rPr>
          <w:rFonts w:asciiTheme="majorHAnsi" w:eastAsia="SimSun" w:hAnsiTheme="majorHAnsi" w:cs="Arial"/>
          <w:bCs/>
          <w:sz w:val="24"/>
          <w:szCs w:val="24"/>
          <w:lang w:eastAsia="zh-CN"/>
        </w:rPr>
      </w:pPr>
      <w:r w:rsidRPr="00145E9B">
        <w:rPr>
          <w:rFonts w:asciiTheme="majorHAnsi" w:eastAsia="SimSun" w:hAnsiTheme="majorHAnsi" w:cs="Arial"/>
          <w:bCs/>
          <w:sz w:val="24"/>
          <w:szCs w:val="24"/>
          <w:lang w:eastAsia="zh-CN"/>
        </w:rPr>
        <w:t>Стратегията за ВОМР на МИГ Хисаря, отчита всички лимитиращи фактори и слаби страни на територията и търси баланс за въздействие върху тях, чрез подпомагане на секторите, имащи отношение към политиките на ЕЗФРСР. Всички избрани мерки в стратегията ще допринесат пряко или непряко за разгръщане на потенциала на територията на МИГ Хисаря.</w:t>
      </w:r>
    </w:p>
    <w:p w14:paraId="240DF21F" w14:textId="2DCC2DC5" w:rsidR="0037300E" w:rsidRPr="00145E9B" w:rsidRDefault="0037300E" w:rsidP="0037300E">
      <w:pPr>
        <w:spacing w:after="0" w:line="240" w:lineRule="auto"/>
        <w:jc w:val="both"/>
        <w:rPr>
          <w:rFonts w:asciiTheme="majorHAnsi" w:eastAsia="Times New Roman" w:hAnsiTheme="majorHAnsi" w:cs="Times New Roman"/>
          <w:color w:val="222222"/>
          <w:sz w:val="24"/>
          <w:szCs w:val="24"/>
          <w:lang w:eastAsia="bg-BG"/>
        </w:rPr>
      </w:pPr>
      <w:r w:rsidRPr="00145E9B">
        <w:rPr>
          <w:rFonts w:asciiTheme="majorHAnsi" w:eastAsia="Times New Roman" w:hAnsiTheme="majorHAnsi" w:cs="Times New Roman"/>
          <w:color w:val="222222"/>
          <w:sz w:val="24"/>
          <w:szCs w:val="24"/>
          <w:lang w:eastAsia="bg-BG"/>
        </w:rPr>
        <w:t>3. Информация за планове и програми и инвестиционни предложения, свързани с предложения план/програма:</w:t>
      </w:r>
    </w:p>
    <w:p w14:paraId="397B59C3" w14:textId="77777777" w:rsidR="003C3AB7" w:rsidRPr="00145E9B" w:rsidRDefault="003C3AB7" w:rsidP="003C3AB7">
      <w:pPr>
        <w:widowControl w:val="0"/>
        <w:autoSpaceDE w:val="0"/>
        <w:autoSpaceDN w:val="0"/>
        <w:adjustRightInd w:val="0"/>
        <w:spacing w:before="100" w:beforeAutospacing="1" w:after="100" w:afterAutospacing="1" w:line="240" w:lineRule="auto"/>
        <w:jc w:val="both"/>
        <w:rPr>
          <w:rFonts w:asciiTheme="majorHAnsi" w:eastAsia="Times New Roman" w:hAnsiTheme="majorHAnsi" w:cs="Arial"/>
          <w:sz w:val="24"/>
          <w:szCs w:val="24"/>
          <w:lang w:eastAsia="bg-BG"/>
        </w:rPr>
      </w:pPr>
      <w:r w:rsidRPr="00145E9B">
        <w:rPr>
          <w:rFonts w:asciiTheme="majorHAnsi" w:eastAsia="Times New Roman" w:hAnsiTheme="majorHAnsi" w:cs="Arial"/>
          <w:sz w:val="24"/>
          <w:szCs w:val="24"/>
          <w:lang w:eastAsia="bg-BG"/>
        </w:rPr>
        <w:t>Стратегията за ВОМР се изготвя в съответствие със СПРЗСР 2023 – 2027 г., за който е проведена процедура по екологична оценка. Процедурата е приключила с постановяване на Становище по ЕО № 5-4/4023г г. от министъра на околната среда и водите, с което СПРЗСР е съгласуван.</w:t>
      </w:r>
    </w:p>
    <w:p w14:paraId="17AA4A25" w14:textId="7AEB2CC1" w:rsidR="003C3AB7" w:rsidRPr="00145E9B" w:rsidRDefault="003C3AB7" w:rsidP="003C3AB7">
      <w:pPr>
        <w:widowControl w:val="0"/>
        <w:autoSpaceDE w:val="0"/>
        <w:autoSpaceDN w:val="0"/>
        <w:adjustRightInd w:val="0"/>
        <w:spacing w:before="100" w:beforeAutospacing="1" w:after="100" w:afterAutospacing="1" w:line="240" w:lineRule="auto"/>
        <w:jc w:val="both"/>
        <w:rPr>
          <w:rFonts w:asciiTheme="majorHAnsi" w:eastAsia="Times New Roman" w:hAnsiTheme="majorHAnsi" w:cs="Arial"/>
          <w:sz w:val="24"/>
          <w:szCs w:val="24"/>
          <w:lang w:eastAsia="bg-BG"/>
        </w:rPr>
      </w:pPr>
      <w:r w:rsidRPr="00145E9B">
        <w:rPr>
          <w:rFonts w:asciiTheme="majorHAnsi" w:hAnsiTheme="majorHAnsi"/>
          <w:noProof/>
          <w:lang w:eastAsia="bg-BG"/>
        </w:rPr>
        <w:drawing>
          <wp:inline distT="0" distB="0" distL="0" distR="0" wp14:anchorId="2B20D49C" wp14:editId="25893F1D">
            <wp:extent cx="6029325" cy="1857375"/>
            <wp:effectExtent l="0" t="0" r="9525" b="9525"/>
            <wp:docPr id="1736218810" name="Картина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29325" cy="1857375"/>
                    </a:xfrm>
                    <a:prstGeom prst="rect">
                      <a:avLst/>
                    </a:prstGeom>
                    <a:noFill/>
                    <a:ln>
                      <a:noFill/>
                    </a:ln>
                  </pic:spPr>
                </pic:pic>
              </a:graphicData>
            </a:graphic>
          </wp:inline>
        </w:drawing>
      </w:r>
    </w:p>
    <w:p w14:paraId="0950846D" w14:textId="70F51100" w:rsidR="003C3AB7" w:rsidRPr="00145E9B" w:rsidRDefault="003C3AB7" w:rsidP="003C3AB7">
      <w:pPr>
        <w:widowControl w:val="0"/>
        <w:autoSpaceDE w:val="0"/>
        <w:autoSpaceDN w:val="0"/>
        <w:adjustRightInd w:val="0"/>
        <w:spacing w:before="100" w:beforeAutospacing="1" w:after="100" w:afterAutospacing="1" w:line="240" w:lineRule="auto"/>
        <w:jc w:val="both"/>
        <w:rPr>
          <w:rFonts w:asciiTheme="majorHAnsi" w:eastAsia="Times New Roman" w:hAnsiTheme="majorHAnsi" w:cs="Arial"/>
          <w:sz w:val="24"/>
          <w:szCs w:val="24"/>
          <w:lang w:eastAsia="bg-BG"/>
        </w:rPr>
      </w:pPr>
      <w:r w:rsidRPr="00145E9B">
        <w:rPr>
          <w:rFonts w:asciiTheme="majorHAnsi" w:hAnsiTheme="majorHAnsi"/>
          <w:noProof/>
          <w:lang w:eastAsia="bg-BG"/>
        </w:rPr>
        <w:lastRenderedPageBreak/>
        <w:drawing>
          <wp:inline distT="0" distB="0" distL="0" distR="0" wp14:anchorId="049A312D" wp14:editId="2A5D4EB6">
            <wp:extent cx="5953125" cy="7248525"/>
            <wp:effectExtent l="0" t="0" r="9525" b="9525"/>
            <wp:docPr id="2" name="Картина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53125" cy="7248525"/>
                    </a:xfrm>
                    <a:prstGeom prst="rect">
                      <a:avLst/>
                    </a:prstGeom>
                    <a:noFill/>
                    <a:ln>
                      <a:noFill/>
                    </a:ln>
                  </pic:spPr>
                </pic:pic>
              </a:graphicData>
            </a:graphic>
          </wp:inline>
        </w:drawing>
      </w:r>
    </w:p>
    <w:p w14:paraId="4296B4E1" w14:textId="2AA5F37B" w:rsidR="003C3AB7" w:rsidRPr="00145E9B" w:rsidRDefault="003C3AB7" w:rsidP="003C3AB7">
      <w:pPr>
        <w:widowControl w:val="0"/>
        <w:autoSpaceDE w:val="0"/>
        <w:autoSpaceDN w:val="0"/>
        <w:adjustRightInd w:val="0"/>
        <w:spacing w:before="100" w:beforeAutospacing="1" w:after="100" w:afterAutospacing="1" w:line="240" w:lineRule="auto"/>
        <w:jc w:val="both"/>
        <w:rPr>
          <w:rFonts w:asciiTheme="majorHAnsi" w:eastAsia="Times New Roman" w:hAnsiTheme="majorHAnsi" w:cs="Arial"/>
          <w:sz w:val="24"/>
          <w:szCs w:val="24"/>
          <w:lang w:eastAsia="bg-BG"/>
        </w:rPr>
      </w:pPr>
      <w:r w:rsidRPr="00145E9B">
        <w:rPr>
          <w:rFonts w:asciiTheme="majorHAnsi" w:hAnsiTheme="majorHAnsi"/>
          <w:noProof/>
          <w:lang w:eastAsia="bg-BG"/>
        </w:rPr>
        <w:drawing>
          <wp:inline distT="0" distB="0" distL="0" distR="0" wp14:anchorId="3B7A840F" wp14:editId="66290D23">
            <wp:extent cx="5962650" cy="1628775"/>
            <wp:effectExtent l="0" t="0" r="0" b="9525"/>
            <wp:docPr id="3" name="Картина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62650" cy="1628775"/>
                    </a:xfrm>
                    <a:prstGeom prst="rect">
                      <a:avLst/>
                    </a:prstGeom>
                    <a:noFill/>
                    <a:ln>
                      <a:noFill/>
                    </a:ln>
                  </pic:spPr>
                </pic:pic>
              </a:graphicData>
            </a:graphic>
          </wp:inline>
        </w:drawing>
      </w:r>
    </w:p>
    <w:p w14:paraId="460E57B8" w14:textId="6CC0BF64" w:rsidR="0037300E" w:rsidRPr="00145E9B" w:rsidRDefault="0037300E" w:rsidP="0037300E">
      <w:pPr>
        <w:spacing w:after="0" w:line="240" w:lineRule="auto"/>
        <w:jc w:val="both"/>
        <w:rPr>
          <w:rFonts w:asciiTheme="majorHAnsi" w:eastAsia="Times New Roman" w:hAnsiTheme="majorHAnsi" w:cs="Times New Roman"/>
          <w:color w:val="222222"/>
          <w:sz w:val="24"/>
          <w:szCs w:val="24"/>
          <w:lang w:eastAsia="bg-BG"/>
        </w:rPr>
      </w:pPr>
      <w:r w:rsidRPr="00145E9B">
        <w:rPr>
          <w:rFonts w:asciiTheme="majorHAnsi" w:eastAsia="Times New Roman" w:hAnsiTheme="majorHAnsi" w:cs="Times New Roman"/>
          <w:color w:val="222222"/>
          <w:sz w:val="24"/>
          <w:szCs w:val="24"/>
          <w:lang w:eastAsia="bg-BG"/>
        </w:rPr>
        <w:t>4. Характеристики на последиците и на пространството, което е вероятно да бъде засегнато, като се отчитат по-специално:</w:t>
      </w:r>
    </w:p>
    <w:p w14:paraId="5123BC65" w14:textId="77777777" w:rsidR="003C3AB7" w:rsidRPr="00145E9B" w:rsidRDefault="003C3AB7" w:rsidP="003C3AB7">
      <w:pPr>
        <w:pStyle w:val="a5"/>
        <w:spacing w:line="360" w:lineRule="auto"/>
        <w:jc w:val="both"/>
        <w:rPr>
          <w:rFonts w:asciiTheme="majorHAnsi" w:hAnsiTheme="majorHAnsi"/>
          <w:sz w:val="24"/>
          <w:szCs w:val="24"/>
        </w:rPr>
      </w:pPr>
      <w:r w:rsidRPr="00145E9B">
        <w:rPr>
          <w:rFonts w:asciiTheme="majorHAnsi" w:hAnsiTheme="majorHAnsi"/>
          <w:b/>
          <w:bCs/>
          <w:sz w:val="24"/>
          <w:szCs w:val="24"/>
        </w:rPr>
        <w:lastRenderedPageBreak/>
        <w:t xml:space="preserve">Климатът </w:t>
      </w:r>
      <w:r w:rsidRPr="00145E9B">
        <w:rPr>
          <w:rFonts w:asciiTheme="majorHAnsi" w:hAnsiTheme="majorHAnsi"/>
          <w:sz w:val="24"/>
          <w:szCs w:val="24"/>
        </w:rPr>
        <w:t>в община Хисаря е от преходно-континентален тип. По класификацията, ползвана от Национален институт по метеорология и хидрология територията на общината попада в преходно континенталната климатична област, което се обуславя от влиянието на умерените континентални, океански и средиземноморски въздушни маси. Характеризира се с горещо лято, мека зима и сравнително малко количество валежи. Този вид климат е белязан от непостоянно време и големи сезонни температурни амплитуди. Средната годишна температура за общината е от 9°С до 11,5°С. Най-студеният месец е януари ( -1°С средна температура), а най-топлият август (29°С средно дневен максимум) с амплитуда, типична за умерено континенталния климат. Зимата в Хисаря е мека и топла. Снегът се задържа средно годишно 27 дни. Пролетта е сравнително ранна и също топла. Летните месеци се характеризират с високи температури, ниска влажност и слаби ветрове. Абсолютната максимална температура достига 39-40°С. Есента е слънчева, топла и тиха, а мъглите са сравнително малко - средно годишно 29 дни. Поради дъждовната сянка на планините Средна гора и Стара планина, средните годишни валежи са малко и възлизат на 500л/м</w:t>
      </w:r>
      <w:r w:rsidRPr="00145E9B">
        <w:rPr>
          <w:rFonts w:asciiTheme="majorHAnsi" w:hAnsiTheme="majorHAnsi"/>
          <w:sz w:val="24"/>
          <w:szCs w:val="24"/>
          <w:vertAlign w:val="superscript"/>
        </w:rPr>
        <w:t>2</w:t>
      </w:r>
      <w:r w:rsidRPr="00145E9B">
        <w:rPr>
          <w:rFonts w:asciiTheme="majorHAnsi" w:hAnsiTheme="majorHAnsi"/>
          <w:sz w:val="24"/>
          <w:szCs w:val="24"/>
        </w:rPr>
        <w:t>.</w:t>
      </w:r>
    </w:p>
    <w:p w14:paraId="62FF45D5" w14:textId="77777777" w:rsidR="003C3AB7" w:rsidRPr="00145E9B" w:rsidRDefault="003C3AB7" w:rsidP="003C3AB7">
      <w:pPr>
        <w:pStyle w:val="a5"/>
        <w:spacing w:line="360" w:lineRule="auto"/>
        <w:jc w:val="both"/>
        <w:rPr>
          <w:rFonts w:asciiTheme="majorHAnsi" w:hAnsiTheme="majorHAnsi"/>
          <w:sz w:val="24"/>
          <w:szCs w:val="24"/>
        </w:rPr>
      </w:pPr>
      <w:r w:rsidRPr="00145E9B">
        <w:rPr>
          <w:rFonts w:asciiTheme="majorHAnsi" w:hAnsiTheme="majorHAnsi"/>
          <w:sz w:val="24"/>
          <w:szCs w:val="24"/>
        </w:rPr>
        <w:t>Преобладаващи за територията на общината са северозападните и южните ветрове, като по-често явление е фьонът, който се проявява в северните райони на общината. Розата на вятъра за Хисаря показва колко дни в годината вятърът духа от определена посока. Територията на община Хисаря е защитена от студените въздушни маси от Стара планина, Ихтиманска и Същинска средна гора. Това влияние се изразява в известно разливане на студените въздушни фронтове от северозапад на север. В резултат на това влияние преобладаващите ветрове са източните със средна годишна скорост 1,1 м/сек., за разлика от прилежащите южни територии, където основния принос на въздушни маси е от запад. Силните и бурни ветрове са рядкост, като 80% са със скорост от 0 до 1 м/сек.</w:t>
      </w:r>
    </w:p>
    <w:p w14:paraId="30DBDCE9" w14:textId="77777777" w:rsidR="003C3AB7" w:rsidRPr="00145E9B" w:rsidRDefault="003C3AB7" w:rsidP="003C3AB7">
      <w:pPr>
        <w:pStyle w:val="a5"/>
        <w:spacing w:line="360" w:lineRule="auto"/>
        <w:jc w:val="both"/>
        <w:rPr>
          <w:rFonts w:asciiTheme="majorHAnsi" w:hAnsiTheme="majorHAnsi"/>
          <w:sz w:val="24"/>
          <w:szCs w:val="24"/>
        </w:rPr>
      </w:pPr>
      <w:r w:rsidRPr="00145E9B">
        <w:rPr>
          <w:rFonts w:asciiTheme="majorHAnsi" w:hAnsiTheme="majorHAnsi"/>
          <w:sz w:val="24"/>
          <w:szCs w:val="24"/>
        </w:rPr>
        <w:t>Близо 93% от територията на община Хисаря се състои от земеделски и горски площи. Най-голям относителен дял заема земеделската земя – 307 405 дка (56% при средно за страната 58%). На второ място са горските площи – 201 618 дка (37% при средни за страната 35%).</w:t>
      </w:r>
    </w:p>
    <w:p w14:paraId="3223D630" w14:textId="77777777" w:rsidR="003C3AB7" w:rsidRPr="00145E9B" w:rsidRDefault="003C3AB7" w:rsidP="003C3AB7">
      <w:pPr>
        <w:pStyle w:val="a5"/>
        <w:spacing w:line="360" w:lineRule="auto"/>
        <w:jc w:val="both"/>
        <w:rPr>
          <w:rFonts w:asciiTheme="majorHAnsi" w:hAnsiTheme="majorHAnsi"/>
          <w:sz w:val="24"/>
          <w:szCs w:val="24"/>
        </w:rPr>
      </w:pPr>
      <w:r w:rsidRPr="00145E9B">
        <w:rPr>
          <w:rFonts w:asciiTheme="majorHAnsi" w:hAnsiTheme="majorHAnsi"/>
          <w:sz w:val="24"/>
          <w:szCs w:val="24"/>
        </w:rPr>
        <w:t>Населените места и другите урбанизирани територии са 2.7% или 14 944 дка. Водните площи заемат 4% от територията на общината, а площите за транспорт и инфраструктура 0.3%. В землищата на община Хисаря няма територии за добив на полезни изкопаеми.</w:t>
      </w:r>
    </w:p>
    <w:p w14:paraId="32BBF8B4" w14:textId="6F0E5446" w:rsidR="003C3AB7" w:rsidRPr="00145E9B" w:rsidRDefault="003C3AB7" w:rsidP="003C3AB7">
      <w:pPr>
        <w:pStyle w:val="a5"/>
        <w:spacing w:line="360" w:lineRule="auto"/>
        <w:jc w:val="both"/>
        <w:rPr>
          <w:rFonts w:asciiTheme="majorHAnsi" w:hAnsiTheme="majorHAnsi"/>
          <w:sz w:val="24"/>
          <w:szCs w:val="24"/>
        </w:rPr>
      </w:pPr>
      <w:r w:rsidRPr="00145E9B">
        <w:rPr>
          <w:rFonts w:asciiTheme="majorHAnsi" w:hAnsiTheme="majorHAnsi"/>
          <w:sz w:val="24"/>
          <w:szCs w:val="24"/>
        </w:rPr>
        <w:t>Община Хисаря попада в обхвата на Басейнова дирекция за управление на водите - Източнобеломорски район, с център град Пловдив. В общината са налице много значими водни ресурси създаващи отлични условия за поливно земеделие.</w:t>
      </w:r>
    </w:p>
    <w:p w14:paraId="7040EB14" w14:textId="77777777" w:rsidR="003C3AB7" w:rsidRPr="00145E9B" w:rsidRDefault="003C3AB7" w:rsidP="003C3AB7">
      <w:pPr>
        <w:pStyle w:val="a5"/>
        <w:spacing w:line="360" w:lineRule="auto"/>
        <w:jc w:val="both"/>
        <w:rPr>
          <w:rFonts w:asciiTheme="majorHAnsi" w:hAnsiTheme="majorHAnsi"/>
          <w:sz w:val="24"/>
          <w:szCs w:val="24"/>
        </w:rPr>
      </w:pPr>
      <w:r w:rsidRPr="00145E9B">
        <w:rPr>
          <w:rFonts w:asciiTheme="majorHAnsi" w:hAnsiTheme="majorHAnsi"/>
          <w:sz w:val="24"/>
          <w:szCs w:val="24"/>
        </w:rPr>
        <w:t xml:space="preserve">Речната мрежа в пределите на община Хисаря се формира основно от долините на реките Стряма, Пясъчник, Пикла, Каварджиклийка и Калаващица, които се характеризират с постоянен дебит и голяма водосборна площ. Останалите реки и притоци имат малка </w:t>
      </w:r>
      <w:r w:rsidRPr="00145E9B">
        <w:rPr>
          <w:rFonts w:asciiTheme="majorHAnsi" w:hAnsiTheme="majorHAnsi"/>
          <w:sz w:val="24"/>
          <w:szCs w:val="24"/>
        </w:rPr>
        <w:lastRenderedPageBreak/>
        <w:t>водосборна област и сезонен характер.</w:t>
      </w:r>
    </w:p>
    <w:p w14:paraId="123B5467" w14:textId="77777777" w:rsidR="003C3AB7" w:rsidRPr="00145E9B" w:rsidRDefault="003C3AB7" w:rsidP="003C3AB7">
      <w:pPr>
        <w:pStyle w:val="a5"/>
        <w:spacing w:line="360" w:lineRule="auto"/>
        <w:jc w:val="both"/>
        <w:rPr>
          <w:rFonts w:asciiTheme="majorHAnsi" w:hAnsiTheme="majorHAnsi"/>
          <w:sz w:val="24"/>
          <w:szCs w:val="24"/>
        </w:rPr>
      </w:pPr>
      <w:r w:rsidRPr="00145E9B">
        <w:rPr>
          <w:rFonts w:asciiTheme="majorHAnsi" w:hAnsiTheme="majorHAnsi"/>
          <w:sz w:val="24"/>
          <w:szCs w:val="24"/>
        </w:rPr>
        <w:t xml:space="preserve">С цел напояване на територията на общината са изградени 57 язовира. От тях по-големи са яз. Пясъчник и яз. Синята река, които са държавна собственост. </w:t>
      </w:r>
    </w:p>
    <w:p w14:paraId="0921B0F0" w14:textId="77777777" w:rsidR="003C3AB7" w:rsidRPr="00145E9B" w:rsidRDefault="003C3AB7" w:rsidP="003C3AB7">
      <w:pPr>
        <w:pStyle w:val="a5"/>
        <w:spacing w:line="360" w:lineRule="auto"/>
        <w:jc w:val="both"/>
        <w:rPr>
          <w:rFonts w:asciiTheme="majorHAnsi" w:hAnsiTheme="majorHAnsi"/>
          <w:sz w:val="24"/>
          <w:szCs w:val="24"/>
        </w:rPr>
      </w:pPr>
      <w:r w:rsidRPr="00145E9B">
        <w:rPr>
          <w:rFonts w:asciiTheme="majorHAnsi" w:hAnsiTheme="majorHAnsi"/>
          <w:sz w:val="24"/>
          <w:szCs w:val="24"/>
        </w:rPr>
        <w:t>Актуален проблем е опасността от наводнения при интензивни валежи на земеделски земи и съоръжения на инфраструктурата, което налага необходимостта от почистване на коритата и осигуряване на проходимост на водните течения, ремонт на водостоците по пътищата, наблюдение на състоянието на дигите. В договорите за наем на язовири следва ясно да се формулира задължение за перманентно наблюдение на състоянието на стените, съоръженията, преливниците, изпускатели, кранове.</w:t>
      </w:r>
    </w:p>
    <w:p w14:paraId="52E96151" w14:textId="77777777" w:rsidR="003C3AB7" w:rsidRPr="00145E9B" w:rsidRDefault="003C3AB7" w:rsidP="003C3AB7">
      <w:pPr>
        <w:pStyle w:val="a5"/>
        <w:spacing w:line="360" w:lineRule="auto"/>
        <w:jc w:val="both"/>
        <w:rPr>
          <w:rFonts w:asciiTheme="majorHAnsi" w:hAnsiTheme="majorHAnsi"/>
          <w:sz w:val="24"/>
          <w:szCs w:val="24"/>
        </w:rPr>
      </w:pPr>
      <w:r w:rsidRPr="00145E9B">
        <w:rPr>
          <w:rFonts w:asciiTheme="majorHAnsi" w:hAnsiTheme="majorHAnsi"/>
          <w:b/>
          <w:bCs/>
          <w:sz w:val="24"/>
          <w:szCs w:val="24"/>
        </w:rPr>
        <w:t xml:space="preserve">Почви </w:t>
      </w:r>
    </w:p>
    <w:p w14:paraId="5E474DF8" w14:textId="77777777" w:rsidR="003C3AB7" w:rsidRPr="00145E9B" w:rsidRDefault="003C3AB7" w:rsidP="003C3AB7">
      <w:pPr>
        <w:pStyle w:val="a5"/>
        <w:spacing w:line="360" w:lineRule="auto"/>
        <w:jc w:val="both"/>
        <w:rPr>
          <w:rFonts w:asciiTheme="majorHAnsi" w:hAnsiTheme="majorHAnsi"/>
          <w:sz w:val="24"/>
          <w:szCs w:val="24"/>
        </w:rPr>
      </w:pPr>
      <w:r w:rsidRPr="00145E9B">
        <w:rPr>
          <w:rFonts w:asciiTheme="majorHAnsi" w:hAnsiTheme="majorHAnsi"/>
          <w:sz w:val="24"/>
          <w:szCs w:val="24"/>
        </w:rPr>
        <w:t>Почвите в общината включват много и различни по състав  видове. Преобладаващи са кафявите горски почви, следвани от канелено-подзолисти. Относително най- слабо разпространени са хумусно-карбонатни и ливадни-канелени почви.</w:t>
      </w:r>
    </w:p>
    <w:p w14:paraId="7087125C" w14:textId="77777777" w:rsidR="003C3AB7" w:rsidRPr="00145E9B" w:rsidRDefault="003C3AB7" w:rsidP="003C3AB7">
      <w:pPr>
        <w:pStyle w:val="a5"/>
        <w:spacing w:line="360" w:lineRule="auto"/>
        <w:jc w:val="both"/>
        <w:rPr>
          <w:rFonts w:asciiTheme="majorHAnsi" w:hAnsiTheme="majorHAnsi"/>
          <w:sz w:val="24"/>
          <w:szCs w:val="24"/>
        </w:rPr>
      </w:pPr>
      <w:r w:rsidRPr="00145E9B">
        <w:rPr>
          <w:rFonts w:asciiTheme="majorHAnsi" w:hAnsiTheme="majorHAnsi"/>
          <w:sz w:val="24"/>
          <w:szCs w:val="24"/>
        </w:rPr>
        <w:t>Срещат се наносни почви (богати), понякога в комплекси богати с бедни наносни почви, делувиални почви, комплекси от делувиални с делувиално - ливадни почви, метаморфни почви (ненаситени кафяви планинско-горски), лесивирани почви (светли и канеленовидни), ненаситени планосоли. Почвите се отнасят към I и II бонитетна група. Главни ограничители на почвеното плодородие са относително пресечения релеф, ерозията, плиткостта на почвите.</w:t>
      </w:r>
    </w:p>
    <w:p w14:paraId="08D84983" w14:textId="77777777" w:rsidR="003C3AB7" w:rsidRPr="00145E9B" w:rsidRDefault="003C3AB7" w:rsidP="003C3AB7">
      <w:pPr>
        <w:pStyle w:val="a5"/>
        <w:spacing w:line="360" w:lineRule="auto"/>
        <w:jc w:val="both"/>
        <w:rPr>
          <w:rFonts w:asciiTheme="majorHAnsi" w:hAnsiTheme="majorHAnsi"/>
          <w:sz w:val="24"/>
          <w:szCs w:val="24"/>
        </w:rPr>
      </w:pPr>
      <w:r w:rsidRPr="00145E9B">
        <w:rPr>
          <w:rFonts w:asciiTheme="majorHAnsi" w:hAnsiTheme="majorHAnsi"/>
          <w:sz w:val="24"/>
          <w:szCs w:val="24"/>
        </w:rPr>
        <w:t>Кафяви горски почви са разпространени в пояса 1000-2000 м. Отличават се с малка мощност на почвения хоризонт /40-80 см/, незначителен хумусен хоризонт и незначително съдържание на хумус /3 - 9%/. Поделят се на светлокафяви /разпространени в по-ниския пояс на буковите гори/ и тъмнокафяви /разпространени по северните склонове и високопланинския пояс иглолистни гори/.</w:t>
      </w:r>
    </w:p>
    <w:p w14:paraId="6C88E441" w14:textId="77777777" w:rsidR="003C3AB7" w:rsidRPr="00145E9B" w:rsidRDefault="003C3AB7" w:rsidP="003C3AB7">
      <w:pPr>
        <w:pStyle w:val="a5"/>
        <w:spacing w:line="360" w:lineRule="auto"/>
        <w:jc w:val="both"/>
        <w:rPr>
          <w:rFonts w:asciiTheme="majorHAnsi" w:hAnsiTheme="majorHAnsi"/>
          <w:sz w:val="24"/>
          <w:szCs w:val="24"/>
        </w:rPr>
      </w:pPr>
      <w:r w:rsidRPr="00145E9B">
        <w:rPr>
          <w:rFonts w:asciiTheme="majorHAnsi" w:hAnsiTheme="majorHAnsi"/>
          <w:sz w:val="24"/>
          <w:szCs w:val="24"/>
        </w:rPr>
        <w:t>Канелените горски почви са разпространени на места в северната част на общината. Канелените горски почви се поделят на типични, излужени и оподзолени канелени горски почви. Излужените канелени почви са разпространени в общината. Характеризират се с мощност на почвения профил 75-120 см, мощност на хумусния хоризонт /до 35 см/. По механичен състав са по-глинести от типичните канелени почви, но са с по-малко съдържание на хумус /2-3 %/.</w:t>
      </w:r>
    </w:p>
    <w:p w14:paraId="5AA97E42" w14:textId="77777777" w:rsidR="003C3AB7" w:rsidRPr="00145E9B" w:rsidRDefault="003C3AB7" w:rsidP="003C3AB7">
      <w:pPr>
        <w:pStyle w:val="a5"/>
        <w:spacing w:line="360" w:lineRule="auto"/>
        <w:jc w:val="both"/>
        <w:rPr>
          <w:rFonts w:asciiTheme="majorHAnsi" w:hAnsiTheme="majorHAnsi"/>
          <w:sz w:val="24"/>
          <w:szCs w:val="24"/>
        </w:rPr>
      </w:pPr>
      <w:r w:rsidRPr="00145E9B">
        <w:rPr>
          <w:rFonts w:asciiTheme="majorHAnsi" w:hAnsiTheme="majorHAnsi"/>
          <w:sz w:val="24"/>
          <w:szCs w:val="24"/>
        </w:rPr>
        <w:t>Не са отчетени замърсявания на почвите с устойчиви органични замърсители, което се дължи основно на промените в българското земеделие през последните години -намалена е употреба на химикали и торове.</w:t>
      </w:r>
    </w:p>
    <w:p w14:paraId="7C95D64A" w14:textId="77777777" w:rsidR="003C3AB7" w:rsidRPr="00145E9B" w:rsidRDefault="003C3AB7" w:rsidP="003C3AB7">
      <w:pPr>
        <w:spacing w:after="0" w:line="240" w:lineRule="auto"/>
        <w:jc w:val="both"/>
        <w:rPr>
          <w:rFonts w:asciiTheme="majorHAnsi" w:eastAsia="Times New Roman" w:hAnsiTheme="majorHAnsi" w:cs="Times New Roman"/>
          <w:color w:val="222222"/>
          <w:sz w:val="24"/>
          <w:szCs w:val="24"/>
          <w:lang w:eastAsia="bg-BG"/>
        </w:rPr>
      </w:pPr>
      <w:r w:rsidRPr="00145E9B">
        <w:rPr>
          <w:rFonts w:asciiTheme="majorHAnsi" w:eastAsia="Times New Roman" w:hAnsiTheme="majorHAnsi" w:cs="Times New Roman"/>
          <w:color w:val="222222"/>
          <w:sz w:val="24"/>
          <w:szCs w:val="24"/>
          <w:lang w:eastAsia="bg-BG"/>
        </w:rPr>
        <w:t>а) вероятността, продължителността, честотата и обратимостта на последиците:</w:t>
      </w:r>
    </w:p>
    <w:p w14:paraId="32F37799" w14:textId="77777777" w:rsidR="003C3AB7" w:rsidRPr="00145E9B" w:rsidRDefault="003C3AB7" w:rsidP="003C3AB7">
      <w:pPr>
        <w:spacing w:after="120"/>
        <w:ind w:right="709"/>
        <w:jc w:val="both"/>
        <w:rPr>
          <w:rFonts w:asciiTheme="majorHAnsi" w:eastAsia="Times New Roman" w:hAnsiTheme="majorHAnsi" w:cs="Arial"/>
          <w:sz w:val="24"/>
          <w:szCs w:val="24"/>
          <w:lang w:eastAsia="bg-BG"/>
        </w:rPr>
      </w:pPr>
      <w:r w:rsidRPr="00145E9B">
        <w:rPr>
          <w:rFonts w:asciiTheme="majorHAnsi" w:eastAsia="Times New Roman" w:hAnsiTheme="majorHAnsi" w:cs="Arial"/>
          <w:sz w:val="24"/>
          <w:szCs w:val="24"/>
          <w:lang w:eastAsia="bg-BG"/>
        </w:rPr>
        <w:t xml:space="preserve">При прилагане на СВОМР не се очаква да възникне ефект на натрупване на отрицателни въздействия върху околната среда, които ще доведат до влошаване състоянието на почвите, водите, въздуха територията на МИГ. </w:t>
      </w:r>
    </w:p>
    <w:p w14:paraId="413FFC0D" w14:textId="77777777" w:rsidR="003C3AB7" w:rsidRPr="00145E9B" w:rsidRDefault="003C3AB7" w:rsidP="003C3AB7">
      <w:pPr>
        <w:spacing w:after="120"/>
        <w:ind w:right="709"/>
        <w:jc w:val="both"/>
        <w:rPr>
          <w:rFonts w:asciiTheme="majorHAnsi" w:eastAsia="Times New Roman" w:hAnsiTheme="majorHAnsi" w:cs="Arial"/>
          <w:sz w:val="24"/>
          <w:szCs w:val="24"/>
          <w:lang w:eastAsia="bg-BG"/>
        </w:rPr>
      </w:pPr>
      <w:r w:rsidRPr="00145E9B">
        <w:rPr>
          <w:rFonts w:asciiTheme="majorHAnsi" w:eastAsia="Times New Roman" w:hAnsiTheme="majorHAnsi" w:cs="Arial"/>
          <w:sz w:val="24"/>
          <w:szCs w:val="24"/>
          <w:lang w:eastAsia="bg-BG"/>
        </w:rPr>
        <w:lastRenderedPageBreak/>
        <w:t xml:space="preserve">Не се очаква отрицателно въздействие върху ландшафта, тъй като чрез дейности по Стратегията за ВОМР ще се подобри състоянието на земеделските земи с което ще се окаже благоприятно въздействие върху ландшафта като цяло.  </w:t>
      </w:r>
    </w:p>
    <w:p w14:paraId="4EB565E6" w14:textId="77777777" w:rsidR="003C3AB7" w:rsidRPr="00145E9B" w:rsidRDefault="003C3AB7" w:rsidP="003C3AB7">
      <w:pPr>
        <w:spacing w:after="120"/>
        <w:ind w:right="709"/>
        <w:jc w:val="both"/>
        <w:rPr>
          <w:rFonts w:asciiTheme="majorHAnsi" w:eastAsia="Times New Roman" w:hAnsiTheme="majorHAnsi" w:cs="Arial"/>
          <w:sz w:val="24"/>
          <w:szCs w:val="24"/>
          <w:lang w:eastAsia="bg-BG"/>
        </w:rPr>
      </w:pPr>
      <w:r w:rsidRPr="00145E9B">
        <w:rPr>
          <w:rFonts w:asciiTheme="majorHAnsi" w:eastAsia="Times New Roman" w:hAnsiTheme="majorHAnsi" w:cs="Arial"/>
          <w:sz w:val="24"/>
          <w:szCs w:val="24"/>
          <w:lang w:eastAsia="bg-BG"/>
        </w:rPr>
        <w:t xml:space="preserve"> Не се очаква потенциален ефект и риск за здравето на хората или околната среда, включително вследствие на аварии.</w:t>
      </w:r>
    </w:p>
    <w:p w14:paraId="70AB7434" w14:textId="77777777" w:rsidR="003C3AB7" w:rsidRPr="00145E9B" w:rsidRDefault="003C3AB7" w:rsidP="003C3AB7">
      <w:pPr>
        <w:pStyle w:val="a5"/>
        <w:spacing w:line="360" w:lineRule="auto"/>
        <w:jc w:val="both"/>
        <w:rPr>
          <w:rFonts w:asciiTheme="majorHAnsi" w:hAnsiTheme="majorHAnsi"/>
          <w:sz w:val="24"/>
          <w:szCs w:val="24"/>
        </w:rPr>
      </w:pPr>
    </w:p>
    <w:p w14:paraId="77534DA7" w14:textId="52020664" w:rsidR="0037300E" w:rsidRPr="00145E9B" w:rsidRDefault="0037300E" w:rsidP="0037300E">
      <w:pPr>
        <w:spacing w:after="0" w:line="240" w:lineRule="auto"/>
        <w:jc w:val="both"/>
        <w:rPr>
          <w:rFonts w:asciiTheme="majorHAnsi" w:eastAsia="Times New Roman" w:hAnsiTheme="majorHAnsi" w:cs="Times New Roman"/>
          <w:color w:val="222222"/>
          <w:sz w:val="24"/>
          <w:szCs w:val="24"/>
          <w:lang w:eastAsia="bg-BG"/>
        </w:rPr>
      </w:pPr>
      <w:r w:rsidRPr="00145E9B">
        <w:rPr>
          <w:rFonts w:asciiTheme="majorHAnsi" w:eastAsia="Times New Roman" w:hAnsiTheme="majorHAnsi" w:cs="Times New Roman"/>
          <w:color w:val="222222"/>
          <w:sz w:val="24"/>
          <w:szCs w:val="24"/>
          <w:lang w:eastAsia="bg-BG"/>
        </w:rPr>
        <w:t>б) кумулативните въздействия:</w:t>
      </w:r>
    </w:p>
    <w:p w14:paraId="03FD7BCD" w14:textId="77777777" w:rsidR="003C3AB7" w:rsidRPr="00145E9B" w:rsidRDefault="003C3AB7" w:rsidP="003C3AB7">
      <w:pPr>
        <w:spacing w:after="120" w:line="360" w:lineRule="auto"/>
        <w:ind w:right="709"/>
        <w:jc w:val="both"/>
        <w:rPr>
          <w:rFonts w:asciiTheme="majorHAnsi" w:eastAsia="Times New Roman" w:hAnsiTheme="majorHAnsi" w:cs="Arial"/>
          <w:sz w:val="24"/>
          <w:szCs w:val="24"/>
          <w:lang w:eastAsia="bg-BG"/>
        </w:rPr>
      </w:pPr>
      <w:r w:rsidRPr="00145E9B">
        <w:rPr>
          <w:rFonts w:asciiTheme="majorHAnsi" w:eastAsia="Times New Roman" w:hAnsiTheme="majorHAnsi" w:cs="Arial"/>
          <w:sz w:val="24"/>
          <w:szCs w:val="24"/>
          <w:lang w:eastAsia="bg-BG"/>
        </w:rPr>
        <w:t>В резултат на изпълнение дейностите по Стратегията като цяло не се очаква отрицателен комулативен ефект. Очакваните въздействия са положителни в направления:</w:t>
      </w:r>
    </w:p>
    <w:p w14:paraId="2E831F25" w14:textId="77777777" w:rsidR="003C3AB7" w:rsidRPr="00145E9B" w:rsidRDefault="003C3AB7" w:rsidP="003C3AB7">
      <w:pPr>
        <w:spacing w:after="120" w:line="360" w:lineRule="auto"/>
        <w:ind w:right="709"/>
        <w:jc w:val="both"/>
        <w:rPr>
          <w:rFonts w:asciiTheme="majorHAnsi" w:eastAsia="Times New Roman" w:hAnsiTheme="majorHAnsi" w:cs="Arial"/>
          <w:sz w:val="24"/>
          <w:szCs w:val="24"/>
          <w:lang w:eastAsia="bg-BG"/>
        </w:rPr>
      </w:pPr>
      <w:r w:rsidRPr="00145E9B">
        <w:rPr>
          <w:rFonts w:asciiTheme="majorHAnsi" w:eastAsia="Times New Roman" w:hAnsiTheme="majorHAnsi" w:cs="Arial"/>
          <w:sz w:val="24"/>
          <w:szCs w:val="24"/>
          <w:lang w:eastAsia="bg-BG"/>
        </w:rPr>
        <w:t>- осигуряване на възпроизводството на обкръжаващата среда;</w:t>
      </w:r>
    </w:p>
    <w:p w14:paraId="774EA6B4" w14:textId="77777777" w:rsidR="003C3AB7" w:rsidRPr="00145E9B" w:rsidRDefault="003C3AB7" w:rsidP="003C3AB7">
      <w:pPr>
        <w:tabs>
          <w:tab w:val="num" w:pos="360"/>
        </w:tabs>
        <w:ind w:left="360" w:right="709" w:hanging="360"/>
        <w:jc w:val="both"/>
        <w:rPr>
          <w:rFonts w:asciiTheme="majorHAnsi" w:eastAsia="Times New Roman" w:hAnsiTheme="majorHAnsi" w:cs="Arial"/>
          <w:sz w:val="24"/>
          <w:szCs w:val="24"/>
          <w:lang w:eastAsia="bg-BG"/>
        </w:rPr>
      </w:pPr>
      <w:r w:rsidRPr="00145E9B">
        <w:rPr>
          <w:rFonts w:asciiTheme="majorHAnsi" w:eastAsia="Times New Roman" w:hAnsiTheme="majorHAnsi" w:cs="Arial"/>
          <w:sz w:val="24"/>
          <w:szCs w:val="24"/>
          <w:lang w:eastAsia="bg-BG"/>
        </w:rPr>
        <w:t xml:space="preserve">- осигуряване чистотата на въздуха </w:t>
      </w:r>
    </w:p>
    <w:p w14:paraId="1F5E468C" w14:textId="77777777" w:rsidR="003C3AB7" w:rsidRPr="00145E9B" w:rsidRDefault="003C3AB7" w:rsidP="003C3AB7">
      <w:pPr>
        <w:tabs>
          <w:tab w:val="num" w:pos="360"/>
        </w:tabs>
        <w:ind w:left="360" w:right="709" w:hanging="360"/>
        <w:jc w:val="both"/>
        <w:rPr>
          <w:rFonts w:asciiTheme="majorHAnsi" w:eastAsia="Times New Roman" w:hAnsiTheme="majorHAnsi" w:cs="Arial"/>
          <w:sz w:val="24"/>
          <w:szCs w:val="24"/>
          <w:lang w:eastAsia="bg-BG"/>
        </w:rPr>
      </w:pPr>
      <w:r w:rsidRPr="00145E9B">
        <w:rPr>
          <w:rFonts w:asciiTheme="majorHAnsi" w:eastAsia="Times New Roman" w:hAnsiTheme="majorHAnsi" w:cs="Arial"/>
          <w:sz w:val="24"/>
          <w:szCs w:val="24"/>
          <w:lang w:eastAsia="bg-BG"/>
        </w:rPr>
        <w:t>- осигуряване на нормален шумов режим</w:t>
      </w:r>
    </w:p>
    <w:p w14:paraId="7EC525C6" w14:textId="77777777" w:rsidR="003C3AB7" w:rsidRPr="00145E9B" w:rsidRDefault="003C3AB7" w:rsidP="003C3AB7">
      <w:pPr>
        <w:tabs>
          <w:tab w:val="num" w:pos="360"/>
        </w:tabs>
        <w:ind w:left="360" w:right="709" w:hanging="360"/>
        <w:jc w:val="both"/>
        <w:rPr>
          <w:rFonts w:asciiTheme="majorHAnsi" w:eastAsia="Times New Roman" w:hAnsiTheme="majorHAnsi" w:cs="Arial"/>
          <w:sz w:val="24"/>
          <w:szCs w:val="24"/>
          <w:lang w:eastAsia="bg-BG"/>
        </w:rPr>
      </w:pPr>
      <w:r w:rsidRPr="00145E9B">
        <w:rPr>
          <w:rFonts w:asciiTheme="majorHAnsi" w:eastAsia="Times New Roman" w:hAnsiTheme="majorHAnsi" w:cs="Arial"/>
          <w:sz w:val="24"/>
          <w:szCs w:val="24"/>
          <w:lang w:eastAsia="bg-BG"/>
        </w:rPr>
        <w:t>- прилагането на мерките по СВОМР ще допринесе за обновяване материалната база и материални активи.</w:t>
      </w:r>
    </w:p>
    <w:p w14:paraId="6C47109E" w14:textId="77777777" w:rsidR="003C3AB7" w:rsidRPr="00145E9B" w:rsidRDefault="003C3AB7" w:rsidP="003C3AB7">
      <w:pPr>
        <w:tabs>
          <w:tab w:val="num" w:pos="360"/>
        </w:tabs>
        <w:ind w:left="360" w:right="709" w:hanging="360"/>
        <w:jc w:val="both"/>
        <w:rPr>
          <w:rFonts w:asciiTheme="majorHAnsi" w:eastAsia="Times New Roman" w:hAnsiTheme="majorHAnsi" w:cs="Arial"/>
          <w:sz w:val="24"/>
          <w:szCs w:val="24"/>
          <w:lang w:eastAsia="bg-BG"/>
        </w:rPr>
      </w:pPr>
      <w:r w:rsidRPr="00145E9B">
        <w:rPr>
          <w:rFonts w:asciiTheme="majorHAnsi" w:eastAsia="Times New Roman" w:hAnsiTheme="majorHAnsi" w:cs="Arial"/>
          <w:sz w:val="24"/>
          <w:szCs w:val="24"/>
          <w:lang w:eastAsia="bg-BG"/>
        </w:rPr>
        <w:t xml:space="preserve"> - ще се изпълняват дейности, които ще доведат до популяризиране на културно- историческото и прирдно наследство, бит, обичаи, традиции.</w:t>
      </w:r>
    </w:p>
    <w:p w14:paraId="51D6EA11" w14:textId="2F4C3FE2" w:rsidR="0037300E" w:rsidRPr="00145E9B" w:rsidRDefault="0037300E" w:rsidP="0037300E">
      <w:pPr>
        <w:spacing w:after="0" w:line="240" w:lineRule="auto"/>
        <w:jc w:val="both"/>
        <w:rPr>
          <w:rFonts w:asciiTheme="majorHAnsi" w:eastAsia="Times New Roman" w:hAnsiTheme="majorHAnsi" w:cs="Times New Roman"/>
          <w:color w:val="222222"/>
          <w:sz w:val="24"/>
          <w:szCs w:val="24"/>
          <w:lang w:eastAsia="bg-BG"/>
        </w:rPr>
      </w:pPr>
      <w:r w:rsidRPr="00145E9B">
        <w:rPr>
          <w:rFonts w:asciiTheme="majorHAnsi" w:eastAsia="Times New Roman" w:hAnsiTheme="majorHAnsi" w:cs="Times New Roman"/>
          <w:color w:val="222222"/>
          <w:sz w:val="24"/>
          <w:szCs w:val="24"/>
          <w:lang w:eastAsia="bg-BG"/>
        </w:rPr>
        <w:t>в) трансграничното въздействие:</w:t>
      </w:r>
    </w:p>
    <w:p w14:paraId="3CDE6551" w14:textId="77777777" w:rsidR="0037300E" w:rsidRPr="00145E9B" w:rsidRDefault="0037300E" w:rsidP="0037300E">
      <w:pPr>
        <w:spacing w:after="0" w:line="240" w:lineRule="auto"/>
        <w:jc w:val="both"/>
        <w:rPr>
          <w:rFonts w:asciiTheme="majorHAnsi" w:eastAsia="Times New Roman" w:hAnsiTheme="majorHAnsi" w:cs="Times New Roman"/>
          <w:color w:val="222222"/>
          <w:sz w:val="24"/>
          <w:szCs w:val="24"/>
          <w:lang w:eastAsia="bg-BG"/>
        </w:rPr>
      </w:pPr>
      <w:r w:rsidRPr="00145E9B">
        <w:rPr>
          <w:rFonts w:asciiTheme="majorHAnsi" w:eastAsia="Times New Roman" w:hAnsiTheme="majorHAnsi" w:cs="Times New Roman"/>
          <w:color w:val="222222"/>
          <w:sz w:val="24"/>
          <w:szCs w:val="24"/>
          <w:lang w:eastAsia="bg-BG"/>
        </w:rPr>
        <w:t>………………………………………………………………………………………………………..........………………………………………………………………………………………………………..........г) рисковете за човешкото здраве или околната среда, включително вследствие на аварии, размер и пространствен обхват на последствията (географски район и брой население, които е вероятно да бъдат засегнати)</w:t>
      </w:r>
    </w:p>
    <w:p w14:paraId="309BFDE5" w14:textId="77777777" w:rsidR="00961796" w:rsidRPr="00145E9B" w:rsidRDefault="00961796" w:rsidP="00961796">
      <w:pPr>
        <w:widowControl w:val="0"/>
        <w:autoSpaceDE w:val="0"/>
        <w:autoSpaceDN w:val="0"/>
        <w:adjustRightInd w:val="0"/>
        <w:spacing w:before="100" w:beforeAutospacing="1" w:after="100" w:afterAutospacing="1" w:line="240" w:lineRule="auto"/>
        <w:jc w:val="both"/>
        <w:rPr>
          <w:rFonts w:asciiTheme="majorHAnsi" w:eastAsia="Times New Roman" w:hAnsiTheme="majorHAnsi" w:cs="Arial"/>
          <w:sz w:val="20"/>
          <w:szCs w:val="20"/>
          <w:lang w:eastAsia="bg-BG"/>
        </w:rPr>
      </w:pPr>
      <w:r w:rsidRPr="00145E9B">
        <w:rPr>
          <w:rFonts w:asciiTheme="majorHAnsi" w:eastAsia="Times New Roman" w:hAnsiTheme="majorHAnsi" w:cs="Arial"/>
          <w:sz w:val="24"/>
          <w:szCs w:val="24"/>
          <w:lang w:eastAsia="bg-BG"/>
        </w:rPr>
        <w:t>Не се очакват рисковете за човешкото здраве или околната среда, включително вследствие на аварии, размер и пространствен обхват на последствията</w:t>
      </w:r>
    </w:p>
    <w:p w14:paraId="3AE1B7C8" w14:textId="744F2062" w:rsidR="0037300E" w:rsidRPr="00145E9B" w:rsidRDefault="0037300E" w:rsidP="0037300E">
      <w:pPr>
        <w:spacing w:after="0" w:line="240" w:lineRule="auto"/>
        <w:jc w:val="both"/>
        <w:rPr>
          <w:rFonts w:asciiTheme="majorHAnsi" w:eastAsia="Times New Roman" w:hAnsiTheme="majorHAnsi" w:cs="Times New Roman"/>
          <w:color w:val="222222"/>
          <w:sz w:val="24"/>
          <w:szCs w:val="24"/>
          <w:lang w:eastAsia="bg-BG"/>
        </w:rPr>
      </w:pPr>
      <w:r w:rsidRPr="00145E9B">
        <w:rPr>
          <w:rFonts w:asciiTheme="majorHAnsi" w:eastAsia="Times New Roman" w:hAnsiTheme="majorHAnsi" w:cs="Times New Roman"/>
          <w:color w:val="222222"/>
          <w:sz w:val="24"/>
          <w:szCs w:val="24"/>
          <w:lang w:eastAsia="bg-BG"/>
        </w:rPr>
        <w:t>д) очакваните неблагоприятни въздействия, произтичащи от увеличаване на опасностите и последствията от възникване на голяма авария от съществуващи или нови предприятия/съоръжения с нисък или висок рисков потенциал, съгласувани по реда на ЗООС, за случаите по чл. 104, ал. 3, т. 3 от ЗООС:</w:t>
      </w:r>
    </w:p>
    <w:p w14:paraId="0F5C3725" w14:textId="77777777" w:rsidR="00961796" w:rsidRPr="00145E9B" w:rsidRDefault="00961796" w:rsidP="00961796">
      <w:pPr>
        <w:widowControl w:val="0"/>
        <w:autoSpaceDE w:val="0"/>
        <w:autoSpaceDN w:val="0"/>
        <w:adjustRightInd w:val="0"/>
        <w:spacing w:before="100" w:beforeAutospacing="1" w:after="100" w:afterAutospacing="1" w:line="240" w:lineRule="auto"/>
        <w:rPr>
          <w:rFonts w:asciiTheme="majorHAnsi" w:eastAsia="Times New Roman" w:hAnsiTheme="majorHAnsi" w:cs="Arial"/>
          <w:sz w:val="20"/>
          <w:szCs w:val="20"/>
          <w:lang w:eastAsia="bg-BG"/>
        </w:rPr>
      </w:pPr>
      <w:r w:rsidRPr="00145E9B">
        <w:rPr>
          <w:rFonts w:asciiTheme="majorHAnsi" w:eastAsia="Times New Roman" w:hAnsiTheme="majorHAnsi" w:cs="Arial"/>
          <w:sz w:val="24"/>
          <w:szCs w:val="24"/>
          <w:lang w:eastAsia="bg-BG"/>
        </w:rPr>
        <w:t>не се очакват</w:t>
      </w:r>
    </w:p>
    <w:p w14:paraId="005447F4" w14:textId="623B5C9C" w:rsidR="0037300E" w:rsidRPr="00145E9B" w:rsidRDefault="0037300E" w:rsidP="0037300E">
      <w:pPr>
        <w:spacing w:after="0" w:line="240" w:lineRule="auto"/>
        <w:jc w:val="both"/>
        <w:rPr>
          <w:rFonts w:asciiTheme="majorHAnsi" w:eastAsia="Times New Roman" w:hAnsiTheme="majorHAnsi" w:cs="Times New Roman"/>
          <w:color w:val="222222"/>
          <w:sz w:val="24"/>
          <w:szCs w:val="24"/>
          <w:lang w:eastAsia="bg-BG"/>
        </w:rPr>
      </w:pPr>
      <w:r w:rsidRPr="00145E9B">
        <w:rPr>
          <w:rFonts w:asciiTheme="majorHAnsi" w:eastAsia="Times New Roman" w:hAnsiTheme="majorHAnsi" w:cs="Times New Roman"/>
          <w:color w:val="222222"/>
          <w:sz w:val="24"/>
          <w:szCs w:val="24"/>
          <w:lang w:eastAsia="bg-BG"/>
        </w:rPr>
        <w:t>е) величината и пространственият обхват на въздействията (географски район и брой на населението, които е вероятно да бъдат засегнати):</w:t>
      </w:r>
    </w:p>
    <w:p w14:paraId="27F1B15C" w14:textId="63D3432B" w:rsidR="00961796" w:rsidRPr="00145E9B" w:rsidRDefault="00961796" w:rsidP="00961796">
      <w:pPr>
        <w:pStyle w:val="a5"/>
        <w:spacing w:line="276" w:lineRule="auto"/>
        <w:jc w:val="both"/>
        <w:rPr>
          <w:rFonts w:asciiTheme="majorHAnsi" w:hAnsiTheme="majorHAnsi"/>
          <w:sz w:val="24"/>
          <w:szCs w:val="24"/>
        </w:rPr>
      </w:pPr>
      <w:r w:rsidRPr="00145E9B">
        <w:rPr>
          <w:rFonts w:asciiTheme="majorHAnsi" w:hAnsiTheme="majorHAnsi"/>
          <w:sz w:val="24"/>
          <w:szCs w:val="24"/>
        </w:rPr>
        <w:t>МИГ Хисаря обхваща територията на една община – Хисаря. Община Хисаря се намира в Централна южна България. Разположена е върху южните склонове на Същинска Средна гора и най-северния дял на Горнотракийската низина. Територията на общината заема северозападните части на област Пловдив (териториална единица от ниво NUTS 3 според класификацията на системата NUTS1) и Южен централен район (ЮЦР) от ниво NUTS 2.</w:t>
      </w:r>
    </w:p>
    <w:p w14:paraId="7E2DEC5C" w14:textId="77777777" w:rsidR="00961796" w:rsidRPr="00145E9B" w:rsidRDefault="00961796" w:rsidP="00961796">
      <w:pPr>
        <w:pStyle w:val="a5"/>
        <w:spacing w:line="276" w:lineRule="auto"/>
        <w:jc w:val="both"/>
        <w:rPr>
          <w:rFonts w:asciiTheme="majorHAnsi" w:hAnsiTheme="majorHAnsi"/>
          <w:sz w:val="24"/>
          <w:szCs w:val="24"/>
        </w:rPr>
      </w:pPr>
      <w:r w:rsidRPr="00145E9B">
        <w:rPr>
          <w:rFonts w:asciiTheme="majorHAnsi" w:hAnsiTheme="majorHAnsi"/>
          <w:sz w:val="24"/>
          <w:szCs w:val="24"/>
        </w:rPr>
        <w:t xml:space="preserve">Географското положение на община Хисаря е благоприятно в няколко аспекта. Общинският център гр. Хисаря е разположен на 45 км. северно от областния център гр. Пловдив, на 40 км. северно от Автомагистрала „Тракия“ - основна пътна артерия в Южна България, на 100 км. от гр. Стара Загора, на 175 км от столицата на България - гр. София и на 280 км. от град </w:t>
      </w:r>
      <w:r w:rsidRPr="00145E9B">
        <w:rPr>
          <w:rFonts w:asciiTheme="majorHAnsi" w:hAnsiTheme="majorHAnsi"/>
          <w:sz w:val="24"/>
          <w:szCs w:val="24"/>
        </w:rPr>
        <w:lastRenderedPageBreak/>
        <w:t>Бургас, който е второто по големина пристанище на Черно море.</w:t>
      </w:r>
    </w:p>
    <w:p w14:paraId="42D192BD" w14:textId="77777777" w:rsidR="00961796" w:rsidRPr="00145E9B" w:rsidRDefault="00961796" w:rsidP="00961796">
      <w:pPr>
        <w:pStyle w:val="a5"/>
        <w:spacing w:line="276" w:lineRule="auto"/>
        <w:ind w:firstLine="720"/>
        <w:jc w:val="both"/>
        <w:rPr>
          <w:rFonts w:asciiTheme="majorHAnsi" w:hAnsiTheme="majorHAnsi"/>
          <w:sz w:val="24"/>
          <w:szCs w:val="24"/>
        </w:rPr>
      </w:pPr>
      <w:r w:rsidRPr="00145E9B">
        <w:rPr>
          <w:rFonts w:asciiTheme="majorHAnsi" w:hAnsiTheme="majorHAnsi"/>
          <w:sz w:val="24"/>
          <w:szCs w:val="24"/>
        </w:rPr>
        <w:t>Община Хисаря граничи със следните общини:</w:t>
      </w:r>
    </w:p>
    <w:p w14:paraId="7CF72650" w14:textId="77777777" w:rsidR="00961796" w:rsidRPr="00145E9B" w:rsidRDefault="00961796" w:rsidP="00961796">
      <w:pPr>
        <w:pStyle w:val="a5"/>
        <w:numPr>
          <w:ilvl w:val="0"/>
          <w:numId w:val="3"/>
        </w:numPr>
        <w:tabs>
          <w:tab w:val="left" w:pos="1440"/>
        </w:tabs>
        <w:spacing w:line="276" w:lineRule="auto"/>
        <w:ind w:left="1080"/>
        <w:jc w:val="both"/>
        <w:rPr>
          <w:rFonts w:asciiTheme="majorHAnsi" w:hAnsiTheme="majorHAnsi"/>
          <w:sz w:val="24"/>
          <w:szCs w:val="24"/>
        </w:rPr>
      </w:pPr>
      <w:bookmarkStart w:id="6" w:name="bookmark65"/>
      <w:bookmarkEnd w:id="6"/>
      <w:r w:rsidRPr="00145E9B">
        <w:rPr>
          <w:rFonts w:asciiTheme="majorHAnsi" w:hAnsiTheme="majorHAnsi"/>
          <w:sz w:val="24"/>
          <w:szCs w:val="24"/>
        </w:rPr>
        <w:t>на запад - община Стрелча (област Пазарджик);</w:t>
      </w:r>
    </w:p>
    <w:p w14:paraId="3085BA1C" w14:textId="77777777" w:rsidR="00961796" w:rsidRPr="00145E9B" w:rsidRDefault="00961796" w:rsidP="00961796">
      <w:pPr>
        <w:pStyle w:val="a5"/>
        <w:numPr>
          <w:ilvl w:val="0"/>
          <w:numId w:val="3"/>
        </w:numPr>
        <w:tabs>
          <w:tab w:val="left" w:pos="1440"/>
        </w:tabs>
        <w:spacing w:line="276" w:lineRule="auto"/>
        <w:ind w:left="1080"/>
        <w:jc w:val="both"/>
        <w:rPr>
          <w:rFonts w:asciiTheme="majorHAnsi" w:hAnsiTheme="majorHAnsi"/>
          <w:sz w:val="24"/>
          <w:szCs w:val="24"/>
        </w:rPr>
      </w:pPr>
      <w:bookmarkStart w:id="7" w:name="bookmark66"/>
      <w:bookmarkEnd w:id="7"/>
      <w:r w:rsidRPr="00145E9B">
        <w:rPr>
          <w:rFonts w:asciiTheme="majorHAnsi" w:hAnsiTheme="majorHAnsi"/>
          <w:sz w:val="24"/>
          <w:szCs w:val="24"/>
        </w:rPr>
        <w:t>на северозапад - община Копривщица (Софийска област);</w:t>
      </w:r>
    </w:p>
    <w:p w14:paraId="15417F25" w14:textId="77777777" w:rsidR="00961796" w:rsidRPr="00145E9B" w:rsidRDefault="00961796" w:rsidP="00961796">
      <w:pPr>
        <w:pStyle w:val="a5"/>
        <w:numPr>
          <w:ilvl w:val="0"/>
          <w:numId w:val="3"/>
        </w:numPr>
        <w:tabs>
          <w:tab w:val="left" w:pos="1440"/>
        </w:tabs>
        <w:spacing w:line="276" w:lineRule="auto"/>
        <w:ind w:left="1080"/>
        <w:jc w:val="both"/>
        <w:rPr>
          <w:rFonts w:asciiTheme="majorHAnsi" w:hAnsiTheme="majorHAnsi"/>
          <w:sz w:val="24"/>
          <w:szCs w:val="24"/>
        </w:rPr>
      </w:pPr>
      <w:bookmarkStart w:id="8" w:name="bookmark67"/>
      <w:bookmarkEnd w:id="8"/>
      <w:r w:rsidRPr="00145E9B">
        <w:rPr>
          <w:rFonts w:asciiTheme="majorHAnsi" w:hAnsiTheme="majorHAnsi"/>
          <w:sz w:val="24"/>
          <w:szCs w:val="24"/>
        </w:rPr>
        <w:t>на север - община Карлово (област Пловдив);</w:t>
      </w:r>
    </w:p>
    <w:p w14:paraId="0CB7600C" w14:textId="77777777" w:rsidR="00961796" w:rsidRPr="00145E9B" w:rsidRDefault="00961796" w:rsidP="00961796">
      <w:pPr>
        <w:pStyle w:val="a5"/>
        <w:numPr>
          <w:ilvl w:val="0"/>
          <w:numId w:val="3"/>
        </w:numPr>
        <w:tabs>
          <w:tab w:val="left" w:pos="1440"/>
        </w:tabs>
        <w:spacing w:line="276" w:lineRule="auto"/>
        <w:ind w:left="1080"/>
        <w:jc w:val="both"/>
        <w:rPr>
          <w:rFonts w:asciiTheme="majorHAnsi" w:hAnsiTheme="majorHAnsi"/>
          <w:sz w:val="24"/>
          <w:szCs w:val="24"/>
        </w:rPr>
      </w:pPr>
      <w:bookmarkStart w:id="9" w:name="bookmark68"/>
      <w:bookmarkEnd w:id="9"/>
      <w:r w:rsidRPr="00145E9B">
        <w:rPr>
          <w:rFonts w:asciiTheme="majorHAnsi" w:hAnsiTheme="majorHAnsi"/>
          <w:sz w:val="24"/>
          <w:szCs w:val="24"/>
        </w:rPr>
        <w:t>на югоизток - община Калояново (област Пловдив);</w:t>
      </w:r>
    </w:p>
    <w:p w14:paraId="29D7BE25" w14:textId="77777777" w:rsidR="00961796" w:rsidRPr="00145E9B" w:rsidRDefault="00961796" w:rsidP="00961796">
      <w:pPr>
        <w:pStyle w:val="a5"/>
        <w:numPr>
          <w:ilvl w:val="0"/>
          <w:numId w:val="3"/>
        </w:numPr>
        <w:tabs>
          <w:tab w:val="left" w:pos="1440"/>
        </w:tabs>
        <w:spacing w:line="276" w:lineRule="auto"/>
        <w:ind w:left="1080"/>
        <w:jc w:val="both"/>
        <w:rPr>
          <w:rFonts w:asciiTheme="majorHAnsi" w:hAnsiTheme="majorHAnsi"/>
          <w:sz w:val="24"/>
          <w:szCs w:val="24"/>
        </w:rPr>
      </w:pPr>
      <w:bookmarkStart w:id="10" w:name="bookmark69"/>
      <w:bookmarkEnd w:id="10"/>
      <w:r w:rsidRPr="00145E9B">
        <w:rPr>
          <w:rFonts w:asciiTheme="majorHAnsi" w:hAnsiTheme="majorHAnsi"/>
          <w:sz w:val="24"/>
          <w:szCs w:val="24"/>
        </w:rPr>
        <w:t>на юг - община Съединение (област Пловдив)</w:t>
      </w:r>
    </w:p>
    <w:p w14:paraId="4754EDCC" w14:textId="162CD53D" w:rsidR="00961796" w:rsidRPr="00145E9B" w:rsidRDefault="00961796" w:rsidP="00961796">
      <w:pPr>
        <w:spacing w:before="120" w:after="0"/>
        <w:jc w:val="both"/>
        <w:rPr>
          <w:rFonts w:asciiTheme="majorHAnsi" w:hAnsiTheme="majorHAnsi" w:cs="Times New Roman"/>
          <w:sz w:val="24"/>
          <w:szCs w:val="24"/>
          <w:shd w:val="clear" w:color="auto" w:fill="FEFEFE"/>
        </w:rPr>
      </w:pPr>
      <w:r w:rsidRPr="00145E9B">
        <w:rPr>
          <w:rFonts w:asciiTheme="majorHAnsi" w:hAnsiTheme="majorHAnsi" w:cs="Times New Roman"/>
          <w:sz w:val="24"/>
          <w:szCs w:val="24"/>
          <w:shd w:val="clear" w:color="auto" w:fill="FEFEFE"/>
        </w:rPr>
        <w:t>На територията на „Местна инициативна група – „МИГ Хисаря“ има 12 населени места: град Хисаря и 11 села. Населените места включени в МИГ Хисаря са както следва: гр. Хисаря, с. Беловица, с. Красново, с. Кръстевич, с. Мало Крушево, с. Михилци, с. Мътеница, с. Ново Железаре, с. Паничери, с. Старо Железаре, с. Старосел, с. Черничево.</w:t>
      </w:r>
    </w:p>
    <w:p w14:paraId="205B1565" w14:textId="2CECDD77" w:rsidR="00961796" w:rsidRPr="00145E9B" w:rsidRDefault="00961796" w:rsidP="00961796">
      <w:pPr>
        <w:spacing w:before="120" w:after="0"/>
        <w:jc w:val="both"/>
        <w:rPr>
          <w:rFonts w:asciiTheme="majorHAnsi" w:hAnsiTheme="majorHAnsi" w:cs="Times New Roman"/>
          <w:sz w:val="24"/>
          <w:szCs w:val="24"/>
          <w:shd w:val="clear" w:color="auto" w:fill="FEFEFE"/>
        </w:rPr>
      </w:pPr>
      <w:r w:rsidRPr="00145E9B">
        <w:rPr>
          <w:rFonts w:asciiTheme="majorHAnsi" w:eastAsia="MS Mincho" w:hAnsiTheme="majorHAnsi" w:cs="Arial"/>
          <w:sz w:val="24"/>
          <w:szCs w:val="24"/>
        </w:rPr>
        <w:t xml:space="preserve">Общият брой на населението на община </w:t>
      </w:r>
      <w:r w:rsidR="00145E9B" w:rsidRPr="00145E9B">
        <w:rPr>
          <w:rFonts w:asciiTheme="majorHAnsi" w:eastAsia="MS Mincho" w:hAnsiTheme="majorHAnsi" w:cs="Arial"/>
          <w:sz w:val="24"/>
          <w:szCs w:val="24"/>
        </w:rPr>
        <w:t>Хисаря</w:t>
      </w:r>
      <w:r w:rsidRPr="00145E9B">
        <w:rPr>
          <w:rFonts w:asciiTheme="majorHAnsi" w:eastAsia="MS Mincho" w:hAnsiTheme="majorHAnsi" w:cs="Arial"/>
          <w:sz w:val="24"/>
          <w:szCs w:val="24"/>
        </w:rPr>
        <w:t xml:space="preserve"> по официални данни на Националния статистически институт (НСИ) към 31.12.2020 г. е 10681 жители.</w:t>
      </w:r>
    </w:p>
    <w:p w14:paraId="67ECD34C" w14:textId="77777777" w:rsidR="00961796" w:rsidRPr="00145E9B" w:rsidRDefault="00961796" w:rsidP="00961796">
      <w:pPr>
        <w:spacing w:before="120" w:after="0"/>
        <w:jc w:val="both"/>
        <w:rPr>
          <w:rFonts w:asciiTheme="majorHAnsi" w:hAnsiTheme="majorHAnsi"/>
          <w:sz w:val="24"/>
          <w:szCs w:val="24"/>
        </w:rPr>
      </w:pPr>
    </w:p>
    <w:p w14:paraId="3C591C61" w14:textId="35CF17AC" w:rsidR="0037300E" w:rsidRPr="00145E9B" w:rsidRDefault="0037300E" w:rsidP="00961796">
      <w:pPr>
        <w:spacing w:after="0" w:line="240" w:lineRule="auto"/>
        <w:jc w:val="both"/>
        <w:rPr>
          <w:rFonts w:asciiTheme="majorHAnsi" w:eastAsia="Times New Roman" w:hAnsiTheme="majorHAnsi" w:cs="Times New Roman"/>
          <w:color w:val="222222"/>
          <w:sz w:val="24"/>
          <w:szCs w:val="24"/>
          <w:lang w:eastAsia="bg-BG"/>
        </w:rPr>
      </w:pPr>
      <w:r w:rsidRPr="00145E9B">
        <w:rPr>
          <w:rFonts w:asciiTheme="majorHAnsi" w:eastAsia="Times New Roman" w:hAnsiTheme="majorHAnsi" w:cs="Times New Roman"/>
          <w:color w:val="222222"/>
          <w:sz w:val="24"/>
          <w:szCs w:val="24"/>
          <w:lang w:eastAsia="bg-BG"/>
        </w:rPr>
        <w:t>ж) ценността и уязвимостта на засегнатата територия (вследствие на особени естествени характеристики или на културно-историческото наследство; превишението на стандартите за качество на околната среда или пределните стойности; интензивно земеползване):</w:t>
      </w:r>
    </w:p>
    <w:p w14:paraId="41A28CAE" w14:textId="77777777" w:rsidR="0037300E" w:rsidRPr="00145E9B" w:rsidRDefault="0037300E" w:rsidP="0037300E">
      <w:pPr>
        <w:spacing w:after="0" w:line="240" w:lineRule="auto"/>
        <w:jc w:val="both"/>
        <w:rPr>
          <w:rFonts w:asciiTheme="majorHAnsi" w:eastAsia="Times New Roman" w:hAnsiTheme="majorHAnsi" w:cs="Times New Roman"/>
          <w:color w:val="222222"/>
          <w:sz w:val="24"/>
          <w:szCs w:val="24"/>
          <w:lang w:eastAsia="bg-BG"/>
        </w:rPr>
      </w:pPr>
      <w:r w:rsidRPr="00145E9B">
        <w:rPr>
          <w:rFonts w:asciiTheme="majorHAnsi" w:eastAsia="Times New Roman" w:hAnsiTheme="majorHAnsi" w:cs="Times New Roman"/>
          <w:color w:val="222222"/>
          <w:sz w:val="24"/>
          <w:szCs w:val="24"/>
          <w:lang w:eastAsia="bg-BG"/>
        </w:rPr>
        <w:t>………………………………………………………………………………………………………..........………………………………………………………………………………………………………..........з) въздействието върху райони или ландшафти, които имат признат национален, общностен или международен статут на защита:</w:t>
      </w:r>
    </w:p>
    <w:p w14:paraId="546CD584" w14:textId="77777777" w:rsidR="00145E9B" w:rsidRPr="00145E9B" w:rsidRDefault="00145E9B" w:rsidP="00145E9B">
      <w:pPr>
        <w:spacing w:after="120"/>
        <w:jc w:val="both"/>
        <w:rPr>
          <w:rFonts w:asciiTheme="majorHAnsi" w:hAnsiTheme="majorHAnsi" w:cs="Arial"/>
          <w:sz w:val="24"/>
          <w:szCs w:val="24"/>
        </w:rPr>
      </w:pPr>
      <w:r w:rsidRPr="00145E9B">
        <w:rPr>
          <w:rFonts w:asciiTheme="majorHAnsi" w:hAnsiTheme="majorHAnsi" w:cs="Arial"/>
          <w:sz w:val="24"/>
          <w:szCs w:val="24"/>
        </w:rPr>
        <w:t xml:space="preserve">Не се очаква отрицателно въздействие върху ландшафта, тъй като чрез дейности по Стратегията за ВОМР ще се подобри състоянието на земеделските земи с което ще се окаже благоприятно въздействие върху ландшафта като цяло.  </w:t>
      </w:r>
    </w:p>
    <w:p w14:paraId="6E4801D1" w14:textId="77777777" w:rsidR="00145E9B" w:rsidRPr="00145E9B" w:rsidRDefault="00145E9B" w:rsidP="00145E9B">
      <w:pPr>
        <w:jc w:val="both"/>
        <w:rPr>
          <w:rFonts w:asciiTheme="majorHAnsi" w:hAnsiTheme="majorHAnsi" w:cs="Arial"/>
          <w:sz w:val="24"/>
          <w:szCs w:val="24"/>
        </w:rPr>
      </w:pPr>
      <w:r w:rsidRPr="00145E9B">
        <w:rPr>
          <w:rFonts w:asciiTheme="majorHAnsi" w:hAnsiTheme="majorHAnsi" w:cs="Arial"/>
          <w:sz w:val="24"/>
          <w:szCs w:val="24"/>
        </w:rPr>
        <w:t>Когато дейностите включват инвестиционна подкрепа, задължително ще се изисква положително решение за оценка за въздействието върху околната среда (ОВОС), освен в случаите, когато такава не се изисква от Закона за опазване на околната среда. В мерките, насочени към подпомагане на земеделските стопанства и фирмите на територията се дава приоритет на инвестиции целящи устойчиво използване на ресурсите, опазване на околната среда и отчитане адаптирането към климатичните промени. Тези принципи са гарантирани чрез обективните критерии за оценка на проектите.</w:t>
      </w:r>
    </w:p>
    <w:p w14:paraId="5B7A9919" w14:textId="77777777" w:rsidR="00145E9B" w:rsidRPr="00145E9B" w:rsidRDefault="00145E9B" w:rsidP="00145E9B">
      <w:pPr>
        <w:jc w:val="both"/>
        <w:rPr>
          <w:rFonts w:asciiTheme="majorHAnsi" w:hAnsiTheme="majorHAnsi" w:cs="Arial"/>
          <w:sz w:val="24"/>
          <w:szCs w:val="24"/>
        </w:rPr>
      </w:pPr>
      <w:r w:rsidRPr="00145E9B">
        <w:rPr>
          <w:rFonts w:asciiTheme="majorHAnsi" w:hAnsiTheme="majorHAnsi" w:cs="Arial"/>
          <w:sz w:val="24"/>
          <w:szCs w:val="24"/>
        </w:rPr>
        <w:t>Всички проекти, попадащи в територии от Натура 2000, преди одобрението им ще бъдат проверявани за съответствие с разпоредбите на Закона за биологичното разнообразие и съответните подзаконови нормативни актове за неговото прилагане, както и предвидените ограничения в решенията за определяне на местата и плановете за управлението им.</w:t>
      </w:r>
    </w:p>
    <w:p w14:paraId="13FBD677" w14:textId="6F86599C" w:rsidR="0037300E" w:rsidRPr="00145E9B" w:rsidRDefault="0037300E" w:rsidP="0037300E">
      <w:pPr>
        <w:spacing w:after="0" w:line="240" w:lineRule="auto"/>
        <w:jc w:val="both"/>
        <w:rPr>
          <w:rFonts w:asciiTheme="majorHAnsi" w:eastAsia="Times New Roman" w:hAnsiTheme="majorHAnsi" w:cs="Times New Roman"/>
          <w:color w:val="222222"/>
          <w:sz w:val="24"/>
          <w:szCs w:val="24"/>
          <w:lang w:eastAsia="bg-BG"/>
        </w:rPr>
      </w:pPr>
      <w:r w:rsidRPr="00145E9B">
        <w:rPr>
          <w:rFonts w:asciiTheme="majorHAnsi" w:eastAsia="Times New Roman" w:hAnsiTheme="majorHAnsi" w:cs="Times New Roman"/>
          <w:color w:val="222222"/>
          <w:sz w:val="24"/>
          <w:szCs w:val="24"/>
          <w:lang w:eastAsia="bg-BG"/>
        </w:rPr>
        <w:t>5. Карта или друг актуален графичен материал на засегнатата територия и на съседните ѝ територии, таблици, схеми, снимки и други - по преценка на възложителя, приложения:</w:t>
      </w:r>
    </w:p>
    <w:p w14:paraId="70300B2D" w14:textId="77777777" w:rsidR="00145E9B" w:rsidRPr="00145E9B" w:rsidRDefault="00145E9B" w:rsidP="0037300E">
      <w:pPr>
        <w:spacing w:after="0" w:line="240" w:lineRule="auto"/>
        <w:jc w:val="both"/>
        <w:rPr>
          <w:rFonts w:asciiTheme="majorHAnsi" w:eastAsia="Times New Roman" w:hAnsiTheme="majorHAnsi" w:cs="Times New Roman"/>
          <w:color w:val="222222"/>
          <w:sz w:val="24"/>
          <w:szCs w:val="24"/>
          <w:lang w:eastAsia="bg-BG"/>
        </w:rPr>
      </w:pPr>
      <w:r w:rsidRPr="00145E9B">
        <w:rPr>
          <w:rFonts w:asciiTheme="majorHAnsi" w:hAnsiTheme="majorHAnsi"/>
          <w:noProof/>
          <w:lang w:eastAsia="bg-BG"/>
        </w:rPr>
        <w:lastRenderedPageBreak/>
        <w:drawing>
          <wp:inline distT="0" distB="0" distL="0" distR="0" wp14:anchorId="74CC4FB1" wp14:editId="5D1A403F">
            <wp:extent cx="3676015" cy="2639695"/>
            <wp:effectExtent l="0" t="0" r="0" b="0"/>
            <wp:docPr id="14" name="Picutre 14"/>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9"/>
                    <a:stretch/>
                  </pic:blipFill>
                  <pic:spPr>
                    <a:xfrm>
                      <a:off x="0" y="0"/>
                      <a:ext cx="3676015" cy="2639695"/>
                    </a:xfrm>
                    <a:prstGeom prst="rect">
                      <a:avLst/>
                    </a:prstGeom>
                  </pic:spPr>
                </pic:pic>
              </a:graphicData>
            </a:graphic>
          </wp:inline>
        </w:drawing>
      </w:r>
    </w:p>
    <w:p w14:paraId="3F5F523F" w14:textId="5532E2DD" w:rsidR="0037300E" w:rsidRPr="00145E9B" w:rsidRDefault="0037300E" w:rsidP="0037300E">
      <w:pPr>
        <w:spacing w:after="0" w:line="240" w:lineRule="auto"/>
        <w:jc w:val="both"/>
        <w:rPr>
          <w:rFonts w:asciiTheme="majorHAnsi" w:eastAsia="Times New Roman" w:hAnsiTheme="majorHAnsi" w:cs="Times New Roman"/>
          <w:color w:val="222222"/>
          <w:sz w:val="24"/>
          <w:szCs w:val="24"/>
          <w:lang w:eastAsia="bg-BG"/>
        </w:rPr>
      </w:pPr>
      <w:r w:rsidRPr="00145E9B">
        <w:rPr>
          <w:rFonts w:asciiTheme="majorHAnsi" w:eastAsia="Times New Roman" w:hAnsiTheme="majorHAnsi" w:cs="Times New Roman"/>
          <w:color w:val="222222"/>
          <w:sz w:val="24"/>
          <w:szCs w:val="24"/>
          <w:lang w:eastAsia="bg-BG"/>
        </w:rPr>
        <w:t>6. Нормативни изисквания за провеждане на наблюдение и контрол по време на прилагане на плана или програмата, в т.ч. предложение на мерки за наблюдение и контрол по отношение на околната среда и човешкото здраве:</w:t>
      </w:r>
    </w:p>
    <w:p w14:paraId="7011BEE6" w14:textId="77777777" w:rsidR="00145E9B" w:rsidRPr="00145E9B" w:rsidRDefault="00145E9B" w:rsidP="00145E9B">
      <w:pPr>
        <w:jc w:val="both"/>
        <w:rPr>
          <w:rFonts w:asciiTheme="majorHAnsi" w:eastAsia="Times New Roman" w:hAnsiTheme="majorHAnsi" w:cs="Times New Roman"/>
          <w:sz w:val="24"/>
          <w:szCs w:val="24"/>
          <w:shd w:val="clear" w:color="auto" w:fill="FEFEFE"/>
        </w:rPr>
      </w:pPr>
      <w:r w:rsidRPr="00145E9B">
        <w:rPr>
          <w:rFonts w:asciiTheme="majorHAnsi" w:eastAsia="Times New Roman" w:hAnsiTheme="majorHAnsi" w:cs="Times New Roman"/>
          <w:sz w:val="24"/>
          <w:szCs w:val="24"/>
          <w:shd w:val="clear" w:color="auto" w:fill="FEFEFE"/>
        </w:rPr>
        <w:t xml:space="preserve">Мониторингът на изпълнението на стратегията за Водено от общностите местно развитие на </w:t>
      </w:r>
      <w:r w:rsidRPr="00145E9B">
        <w:rPr>
          <w:rFonts w:asciiTheme="majorHAnsi" w:hAnsiTheme="majorHAnsi" w:cs="Times New Roman"/>
          <w:sz w:val="24"/>
          <w:szCs w:val="24"/>
        </w:rPr>
        <w:t>„</w:t>
      </w:r>
      <w:r w:rsidRPr="00145E9B">
        <w:rPr>
          <w:rFonts w:asciiTheme="majorHAnsi" w:hAnsiTheme="majorHAnsi" w:cs="Times New Roman"/>
          <w:color w:val="000000"/>
          <w:sz w:val="24"/>
          <w:szCs w:val="24"/>
          <w:lang w:bidi="bg-BG"/>
        </w:rPr>
        <w:t xml:space="preserve">Местна инициативна група  Хисаря“ </w:t>
      </w:r>
      <w:r w:rsidRPr="00145E9B">
        <w:rPr>
          <w:rFonts w:asciiTheme="majorHAnsi" w:eastAsia="Times New Roman" w:hAnsiTheme="majorHAnsi" w:cs="Times New Roman"/>
          <w:sz w:val="24"/>
          <w:szCs w:val="24"/>
          <w:shd w:val="clear" w:color="auto" w:fill="FEFEFE"/>
        </w:rPr>
        <w:t>и на подкрепените операции, и провеждането на конкретни дейности за оценка, свързани с тази стратегия, е задължение на екипа на МИГ.</w:t>
      </w:r>
    </w:p>
    <w:p w14:paraId="73D578A9" w14:textId="77777777" w:rsidR="00145E9B" w:rsidRPr="00145E9B" w:rsidRDefault="00145E9B" w:rsidP="00145E9B">
      <w:pPr>
        <w:jc w:val="both"/>
        <w:rPr>
          <w:rFonts w:asciiTheme="majorHAnsi" w:eastAsia="Times New Roman" w:hAnsiTheme="majorHAnsi" w:cs="Times New Roman"/>
          <w:sz w:val="24"/>
          <w:szCs w:val="24"/>
          <w:shd w:val="clear" w:color="auto" w:fill="FEFEFE"/>
        </w:rPr>
      </w:pPr>
      <w:r w:rsidRPr="00145E9B">
        <w:rPr>
          <w:rFonts w:asciiTheme="majorHAnsi" w:eastAsia="Times New Roman" w:hAnsiTheme="majorHAnsi" w:cs="Times New Roman"/>
          <w:sz w:val="24"/>
          <w:szCs w:val="24"/>
          <w:shd w:val="clear" w:color="auto" w:fill="FEFEFE"/>
        </w:rPr>
        <w:t>Системата за мониторинг и оценка има за цел да обезпечи надеждна информация за бюджетните параметри, резултатите и въздействието на Стратегията за ВОМР и за партньорите, ангажирани в управлението така, че Управителния съвет на МИГ да може да взема правилни управленски решения.</w:t>
      </w:r>
    </w:p>
    <w:p w14:paraId="5F82D604" w14:textId="77777777" w:rsidR="00145E9B" w:rsidRPr="00145E9B" w:rsidRDefault="00145E9B" w:rsidP="00145E9B">
      <w:pPr>
        <w:jc w:val="both"/>
        <w:rPr>
          <w:rFonts w:asciiTheme="majorHAnsi" w:eastAsia="Times New Roman" w:hAnsiTheme="majorHAnsi" w:cs="Times New Roman"/>
          <w:sz w:val="24"/>
          <w:szCs w:val="24"/>
          <w:shd w:val="clear" w:color="auto" w:fill="FEFEFE"/>
        </w:rPr>
      </w:pPr>
      <w:r w:rsidRPr="00145E9B">
        <w:rPr>
          <w:rFonts w:asciiTheme="majorHAnsi" w:eastAsia="Times New Roman" w:hAnsiTheme="majorHAnsi" w:cs="Times New Roman"/>
          <w:sz w:val="24"/>
          <w:szCs w:val="24"/>
          <w:shd w:val="clear" w:color="auto" w:fill="FEFEFE"/>
        </w:rPr>
        <w:t>Мониторингът ще се осъществява на 2 нива - на ниво проект и на ниво стратегия за ВОМР.</w:t>
      </w:r>
    </w:p>
    <w:p w14:paraId="39594393" w14:textId="77777777" w:rsidR="00145E9B" w:rsidRPr="00145E9B" w:rsidRDefault="00145E9B" w:rsidP="00145E9B">
      <w:pPr>
        <w:jc w:val="both"/>
        <w:rPr>
          <w:rFonts w:asciiTheme="majorHAnsi" w:eastAsia="Times New Roman" w:hAnsiTheme="majorHAnsi" w:cs="Times New Roman"/>
          <w:b/>
          <w:sz w:val="24"/>
          <w:szCs w:val="24"/>
          <w:shd w:val="clear" w:color="auto" w:fill="FEFEFE"/>
        </w:rPr>
      </w:pPr>
      <w:r w:rsidRPr="00145E9B">
        <w:rPr>
          <w:rFonts w:asciiTheme="majorHAnsi" w:eastAsia="Times New Roman" w:hAnsiTheme="majorHAnsi" w:cs="Times New Roman"/>
          <w:b/>
          <w:sz w:val="24"/>
          <w:szCs w:val="24"/>
          <w:shd w:val="clear" w:color="auto" w:fill="FEFEFE"/>
        </w:rPr>
        <w:t>Мониторингът на ниво проект се осъществява посредством:</w:t>
      </w:r>
    </w:p>
    <w:p w14:paraId="30823C5D" w14:textId="77777777" w:rsidR="00145E9B" w:rsidRPr="00145E9B" w:rsidRDefault="00145E9B" w:rsidP="00145E9B">
      <w:pPr>
        <w:pStyle w:val="a9"/>
        <w:numPr>
          <w:ilvl w:val="0"/>
          <w:numId w:val="5"/>
        </w:numPr>
        <w:spacing w:after="0"/>
        <w:ind w:left="714" w:hanging="357"/>
        <w:jc w:val="both"/>
        <w:rPr>
          <w:rFonts w:asciiTheme="majorHAnsi" w:eastAsia="Times New Roman" w:hAnsiTheme="majorHAnsi" w:cs="Times New Roman"/>
          <w:sz w:val="24"/>
          <w:szCs w:val="24"/>
          <w:shd w:val="clear" w:color="auto" w:fill="FEFEFE"/>
        </w:rPr>
      </w:pPr>
      <w:r w:rsidRPr="00145E9B">
        <w:rPr>
          <w:rFonts w:asciiTheme="majorHAnsi" w:eastAsia="Times New Roman" w:hAnsiTheme="majorHAnsi" w:cs="Times New Roman"/>
          <w:sz w:val="24"/>
          <w:szCs w:val="24"/>
          <w:shd w:val="clear" w:color="auto" w:fill="FEFEFE"/>
        </w:rPr>
        <w:t>Преглед на отчети за техническо и финансово изпълнение на проектите;</w:t>
      </w:r>
    </w:p>
    <w:p w14:paraId="0F528D16" w14:textId="77777777" w:rsidR="00145E9B" w:rsidRPr="00145E9B" w:rsidRDefault="00145E9B" w:rsidP="00145E9B">
      <w:pPr>
        <w:pStyle w:val="a9"/>
        <w:numPr>
          <w:ilvl w:val="0"/>
          <w:numId w:val="5"/>
        </w:numPr>
        <w:spacing w:after="0"/>
        <w:ind w:left="714" w:hanging="357"/>
        <w:jc w:val="both"/>
        <w:rPr>
          <w:rFonts w:asciiTheme="majorHAnsi" w:eastAsia="Times New Roman" w:hAnsiTheme="majorHAnsi" w:cs="Times New Roman"/>
          <w:sz w:val="24"/>
          <w:szCs w:val="24"/>
          <w:shd w:val="clear" w:color="auto" w:fill="FEFEFE"/>
        </w:rPr>
      </w:pPr>
      <w:r w:rsidRPr="00145E9B">
        <w:rPr>
          <w:rFonts w:asciiTheme="majorHAnsi" w:eastAsia="Times New Roman" w:hAnsiTheme="majorHAnsi" w:cs="Times New Roman"/>
          <w:sz w:val="24"/>
          <w:szCs w:val="24"/>
          <w:shd w:val="clear" w:color="auto" w:fill="FEFEFE"/>
        </w:rPr>
        <w:t>Осъществяване на посещения на място;</w:t>
      </w:r>
    </w:p>
    <w:p w14:paraId="6CFB3B8A" w14:textId="77777777" w:rsidR="00145E9B" w:rsidRPr="00145E9B" w:rsidRDefault="00145E9B" w:rsidP="00145E9B">
      <w:pPr>
        <w:pStyle w:val="a9"/>
        <w:numPr>
          <w:ilvl w:val="0"/>
          <w:numId w:val="5"/>
        </w:numPr>
        <w:spacing w:after="0"/>
        <w:ind w:left="714" w:hanging="357"/>
        <w:jc w:val="both"/>
        <w:rPr>
          <w:rFonts w:asciiTheme="majorHAnsi" w:eastAsia="Times New Roman" w:hAnsiTheme="majorHAnsi" w:cs="Times New Roman"/>
          <w:sz w:val="24"/>
          <w:szCs w:val="24"/>
          <w:shd w:val="clear" w:color="auto" w:fill="FEFEFE"/>
        </w:rPr>
      </w:pPr>
      <w:r w:rsidRPr="00145E9B">
        <w:rPr>
          <w:rFonts w:asciiTheme="majorHAnsi" w:eastAsia="Times New Roman" w:hAnsiTheme="majorHAnsi" w:cs="Times New Roman"/>
          <w:sz w:val="24"/>
          <w:szCs w:val="24"/>
          <w:shd w:val="clear" w:color="auto" w:fill="FEFEFE"/>
        </w:rPr>
        <w:t>Периодични срещи за отчитане на напредъка на проектите.</w:t>
      </w:r>
    </w:p>
    <w:p w14:paraId="7D27FFF6" w14:textId="77777777" w:rsidR="00145E9B" w:rsidRPr="00145E9B" w:rsidRDefault="00145E9B" w:rsidP="00145E9B">
      <w:pPr>
        <w:jc w:val="both"/>
        <w:rPr>
          <w:rFonts w:asciiTheme="majorHAnsi" w:eastAsia="Times New Roman" w:hAnsiTheme="majorHAnsi" w:cs="Times New Roman"/>
          <w:sz w:val="24"/>
          <w:szCs w:val="24"/>
          <w:shd w:val="clear" w:color="auto" w:fill="FEFEFE"/>
        </w:rPr>
      </w:pPr>
      <w:r w:rsidRPr="00145E9B">
        <w:rPr>
          <w:rFonts w:asciiTheme="majorHAnsi" w:eastAsia="Times New Roman" w:hAnsiTheme="majorHAnsi" w:cs="Times New Roman"/>
          <w:sz w:val="24"/>
          <w:szCs w:val="24"/>
          <w:shd w:val="clear" w:color="auto" w:fill="FEFEFE"/>
        </w:rPr>
        <w:t xml:space="preserve">Събраната информация се въвежда в база-данни и служи за изготвяне на Доклади за изпълнение на стратегията и за извършване на независими оценки за нейното изпълнение. </w:t>
      </w:r>
    </w:p>
    <w:p w14:paraId="029370B0" w14:textId="77777777" w:rsidR="00145E9B" w:rsidRPr="00145E9B" w:rsidRDefault="00145E9B" w:rsidP="00145E9B">
      <w:pPr>
        <w:jc w:val="both"/>
        <w:rPr>
          <w:rFonts w:asciiTheme="majorHAnsi" w:eastAsia="Times New Roman" w:hAnsiTheme="majorHAnsi" w:cs="Times New Roman"/>
          <w:sz w:val="24"/>
          <w:szCs w:val="24"/>
          <w:shd w:val="clear" w:color="auto" w:fill="FEFEFE"/>
        </w:rPr>
      </w:pPr>
      <w:r w:rsidRPr="00145E9B">
        <w:rPr>
          <w:rFonts w:asciiTheme="majorHAnsi" w:eastAsia="Times New Roman" w:hAnsiTheme="majorHAnsi" w:cs="Times New Roman"/>
          <w:b/>
          <w:sz w:val="24"/>
          <w:szCs w:val="24"/>
          <w:shd w:val="clear" w:color="auto" w:fill="FEFEFE"/>
        </w:rPr>
        <w:t xml:space="preserve">Мониторингът на ниво стратегия за ВОМР </w:t>
      </w:r>
      <w:r w:rsidRPr="00145E9B">
        <w:rPr>
          <w:rFonts w:asciiTheme="majorHAnsi" w:eastAsia="Times New Roman" w:hAnsiTheme="majorHAnsi" w:cs="Times New Roman"/>
          <w:sz w:val="24"/>
          <w:szCs w:val="24"/>
          <w:shd w:val="clear" w:color="auto" w:fill="FEFEFE"/>
        </w:rPr>
        <w:t xml:space="preserve">се осъществява от УС на МИГ Хисаря посредством обсъждането на Доклади (отчети) за междинно изпълнение на стратегията и от ОС на МИГ посредством разглеждането на Годишните доклади за изпълнение на стратегията. </w:t>
      </w:r>
    </w:p>
    <w:p w14:paraId="6D56CE33" w14:textId="77777777" w:rsidR="00145E9B" w:rsidRPr="00145E9B" w:rsidRDefault="00145E9B" w:rsidP="00145E9B">
      <w:pPr>
        <w:pStyle w:val="Default"/>
        <w:spacing w:line="276" w:lineRule="auto"/>
        <w:jc w:val="both"/>
        <w:rPr>
          <w:rFonts w:asciiTheme="majorHAnsi" w:eastAsia="Times New Roman" w:hAnsiTheme="majorHAnsi"/>
          <w:color w:val="auto"/>
          <w:shd w:val="clear" w:color="auto" w:fill="FEFEFE"/>
          <w:lang w:eastAsia="bg-BG"/>
        </w:rPr>
      </w:pPr>
      <w:r w:rsidRPr="00145E9B">
        <w:rPr>
          <w:rFonts w:asciiTheme="majorHAnsi" w:eastAsia="Times New Roman" w:hAnsiTheme="majorHAnsi"/>
          <w:b/>
          <w:shd w:val="clear" w:color="auto" w:fill="FEFEFE"/>
        </w:rPr>
        <w:t>Извършване на външна оценка за изпълнение на Стратегията.</w:t>
      </w:r>
      <w:r w:rsidRPr="00145E9B">
        <w:rPr>
          <w:rFonts w:asciiTheme="majorHAnsi" w:eastAsia="Times New Roman" w:hAnsiTheme="majorHAnsi"/>
          <w:shd w:val="clear" w:color="auto" w:fill="FEFEFE"/>
        </w:rPr>
        <w:t xml:space="preserve"> В рамките на предвидените оценки ще се събира информация за резултатите и въздействието на стратегията въз основа на индикаторите и въпросите за оценка. Работата по външната експертна оценка ще се организира от външен за МИГ изпълнител, с цел изготвяне на независима и релевантна на целите оценка. Оценката на изпълнението на Стратегията включва оценка на ефективността и ефикасността на използваните ресурси за изпълнение на Стратегията; положителните и отрицателните характеристики при изпълнението на Стратегията за ВОМР; анализ на изпълнението на индикаторите; оценка на степента на постигане на целите; изводи и препоръки. Външна оценка ще се извърши веднъж годишно </w:t>
      </w:r>
      <w:r w:rsidRPr="00145E9B">
        <w:rPr>
          <w:rFonts w:asciiTheme="majorHAnsi" w:eastAsia="Times New Roman" w:hAnsiTheme="majorHAnsi"/>
          <w:shd w:val="clear" w:color="auto" w:fill="FEFEFE"/>
        </w:rPr>
        <w:lastRenderedPageBreak/>
        <w:t xml:space="preserve">в периода на изпълнение. Оценките ще се придружават на доклади, като годишните доклади ще формулират препоръки и насоки за предприемане на мерки за постигане на целите на Стратегията за ВОМР. Окончателният доклад за оценка на изпълнението на Стратегията ще излезе със заключение за постигнатите резултати от прилагането на </w:t>
      </w:r>
      <w:r w:rsidRPr="00145E9B">
        <w:rPr>
          <w:rFonts w:asciiTheme="majorHAnsi" w:eastAsia="Times New Roman" w:hAnsiTheme="majorHAnsi"/>
          <w:color w:val="auto"/>
          <w:shd w:val="clear" w:color="auto" w:fill="FEFEFE"/>
          <w:lang w:eastAsia="bg-BG"/>
        </w:rPr>
        <w:t>Стратегията за ВОМР и степен на постигане на поставените цели.</w:t>
      </w:r>
    </w:p>
    <w:p w14:paraId="3631788F" w14:textId="77777777" w:rsidR="00145E9B" w:rsidRPr="00145E9B" w:rsidRDefault="00145E9B" w:rsidP="00145E9B">
      <w:pPr>
        <w:pStyle w:val="Default"/>
        <w:spacing w:line="276" w:lineRule="auto"/>
        <w:jc w:val="both"/>
        <w:rPr>
          <w:rFonts w:asciiTheme="majorHAnsi" w:eastAsia="Times New Roman" w:hAnsiTheme="majorHAnsi"/>
          <w:color w:val="auto"/>
          <w:shd w:val="clear" w:color="auto" w:fill="FEFEFE"/>
          <w:lang w:eastAsia="bg-BG"/>
        </w:rPr>
      </w:pPr>
      <w:r w:rsidRPr="00145E9B">
        <w:rPr>
          <w:rFonts w:asciiTheme="majorHAnsi" w:eastAsia="Times New Roman" w:hAnsiTheme="majorHAnsi"/>
          <w:color w:val="auto"/>
          <w:shd w:val="clear" w:color="auto" w:fill="FEFEFE"/>
          <w:lang w:eastAsia="bg-BG"/>
        </w:rPr>
        <w:t xml:space="preserve">Инструментите за осъществяване на дейностите по мониторинга и събиране на данни са: </w:t>
      </w:r>
    </w:p>
    <w:p w14:paraId="22EAE470" w14:textId="77777777" w:rsidR="00145E9B" w:rsidRPr="00145E9B" w:rsidRDefault="00145E9B" w:rsidP="00145E9B">
      <w:pPr>
        <w:pStyle w:val="Default"/>
        <w:numPr>
          <w:ilvl w:val="0"/>
          <w:numId w:val="6"/>
        </w:numPr>
        <w:spacing w:line="276" w:lineRule="auto"/>
        <w:jc w:val="both"/>
        <w:rPr>
          <w:rFonts w:asciiTheme="majorHAnsi" w:eastAsia="Times New Roman" w:hAnsiTheme="majorHAnsi"/>
          <w:color w:val="auto"/>
          <w:shd w:val="clear" w:color="auto" w:fill="FEFEFE"/>
          <w:lang w:eastAsia="bg-BG"/>
        </w:rPr>
      </w:pPr>
      <w:r w:rsidRPr="00145E9B">
        <w:rPr>
          <w:rFonts w:asciiTheme="majorHAnsi" w:eastAsia="Times New Roman" w:hAnsiTheme="majorHAnsi"/>
          <w:color w:val="auto"/>
          <w:shd w:val="clear" w:color="auto" w:fill="FEFEFE"/>
          <w:lang w:eastAsia="bg-BG"/>
        </w:rPr>
        <w:t xml:space="preserve">База данни и отчети по прилагане на стратегията за ВОМР; </w:t>
      </w:r>
    </w:p>
    <w:p w14:paraId="284A520A" w14:textId="77777777" w:rsidR="00145E9B" w:rsidRPr="00145E9B" w:rsidRDefault="00145E9B" w:rsidP="00145E9B">
      <w:pPr>
        <w:pStyle w:val="Default"/>
        <w:numPr>
          <w:ilvl w:val="0"/>
          <w:numId w:val="6"/>
        </w:numPr>
        <w:spacing w:line="276" w:lineRule="auto"/>
        <w:jc w:val="both"/>
        <w:rPr>
          <w:rFonts w:asciiTheme="majorHAnsi" w:eastAsia="Times New Roman" w:hAnsiTheme="majorHAnsi"/>
          <w:color w:val="auto"/>
          <w:shd w:val="clear" w:color="auto" w:fill="FEFEFE"/>
          <w:lang w:eastAsia="bg-BG"/>
        </w:rPr>
      </w:pPr>
      <w:r w:rsidRPr="00145E9B">
        <w:rPr>
          <w:rFonts w:asciiTheme="majorHAnsi" w:eastAsia="Times New Roman" w:hAnsiTheme="majorHAnsi"/>
          <w:color w:val="auto"/>
          <w:shd w:val="clear" w:color="auto" w:fill="FEFEFE"/>
          <w:lang w:eastAsia="bg-BG"/>
        </w:rPr>
        <w:t xml:space="preserve">Текущ мониторинг; </w:t>
      </w:r>
    </w:p>
    <w:p w14:paraId="463A09B2" w14:textId="77777777" w:rsidR="00145E9B" w:rsidRPr="00145E9B" w:rsidRDefault="00145E9B" w:rsidP="00145E9B">
      <w:pPr>
        <w:pStyle w:val="Default"/>
        <w:numPr>
          <w:ilvl w:val="0"/>
          <w:numId w:val="6"/>
        </w:numPr>
        <w:spacing w:line="276" w:lineRule="auto"/>
        <w:jc w:val="both"/>
        <w:rPr>
          <w:rFonts w:asciiTheme="majorHAnsi" w:eastAsia="Times New Roman" w:hAnsiTheme="majorHAnsi"/>
          <w:color w:val="auto"/>
          <w:shd w:val="clear" w:color="auto" w:fill="FEFEFE"/>
          <w:lang w:eastAsia="bg-BG"/>
        </w:rPr>
      </w:pPr>
      <w:r w:rsidRPr="00145E9B">
        <w:rPr>
          <w:rFonts w:asciiTheme="majorHAnsi" w:eastAsia="Times New Roman" w:hAnsiTheme="majorHAnsi"/>
          <w:color w:val="auto"/>
          <w:shd w:val="clear" w:color="auto" w:fill="FEFEFE"/>
          <w:lang w:eastAsia="bg-BG"/>
        </w:rPr>
        <w:t xml:space="preserve">Извършване на външна оценка за изпълнение на стратегията; </w:t>
      </w:r>
    </w:p>
    <w:p w14:paraId="1FA6FA5C" w14:textId="77777777" w:rsidR="00145E9B" w:rsidRPr="00145E9B" w:rsidRDefault="00145E9B" w:rsidP="00145E9B">
      <w:pPr>
        <w:spacing w:after="0" w:line="240" w:lineRule="auto"/>
        <w:jc w:val="both"/>
        <w:rPr>
          <w:rFonts w:asciiTheme="majorHAnsi" w:eastAsia="Times New Roman" w:hAnsiTheme="majorHAnsi"/>
          <w:shd w:val="clear" w:color="auto" w:fill="FEFEFE"/>
          <w:lang w:eastAsia="bg-BG"/>
        </w:rPr>
      </w:pPr>
      <w:r w:rsidRPr="00145E9B">
        <w:rPr>
          <w:rFonts w:asciiTheme="majorHAnsi" w:eastAsia="Times New Roman" w:hAnsiTheme="majorHAnsi"/>
          <w:shd w:val="clear" w:color="auto" w:fill="FEFEFE"/>
          <w:lang w:eastAsia="bg-BG"/>
        </w:rPr>
        <w:t>Тематични проучвания и анализи</w:t>
      </w:r>
    </w:p>
    <w:p w14:paraId="46E30B82" w14:textId="17AFC8B3" w:rsidR="0037300E" w:rsidRPr="00145E9B" w:rsidRDefault="0037300E" w:rsidP="00145E9B">
      <w:pPr>
        <w:spacing w:after="0" w:line="240" w:lineRule="auto"/>
        <w:jc w:val="both"/>
        <w:rPr>
          <w:rFonts w:asciiTheme="majorHAnsi" w:eastAsia="Times New Roman" w:hAnsiTheme="majorHAnsi" w:cs="Times New Roman"/>
          <w:color w:val="222222"/>
          <w:sz w:val="24"/>
          <w:szCs w:val="24"/>
          <w:lang w:eastAsia="bg-BG"/>
        </w:rPr>
      </w:pPr>
      <w:r w:rsidRPr="00145E9B">
        <w:rPr>
          <w:rFonts w:asciiTheme="majorHAnsi" w:eastAsia="Times New Roman" w:hAnsiTheme="majorHAnsi" w:cs="Times New Roman"/>
          <w:color w:val="222222"/>
          <w:sz w:val="24"/>
          <w:szCs w:val="24"/>
          <w:lang w:eastAsia="bg-BG"/>
        </w:rPr>
        <w:t>7. Информация за платена такса и датата на заплащане.</w:t>
      </w:r>
    </w:p>
    <w:p w14:paraId="0F3D6527" w14:textId="77777777" w:rsidR="0037300E" w:rsidRPr="00145E9B" w:rsidRDefault="0037300E" w:rsidP="0037300E">
      <w:pPr>
        <w:spacing w:after="0" w:line="240" w:lineRule="auto"/>
        <w:jc w:val="both"/>
        <w:rPr>
          <w:rFonts w:asciiTheme="majorHAnsi" w:eastAsia="Times New Roman" w:hAnsiTheme="majorHAnsi" w:cs="Times New Roman"/>
          <w:color w:val="222222"/>
          <w:sz w:val="24"/>
          <w:szCs w:val="24"/>
          <w:lang w:eastAsia="bg-BG"/>
        </w:rPr>
      </w:pPr>
      <w:r w:rsidRPr="00145E9B">
        <w:rPr>
          <w:rFonts w:asciiTheme="majorHAnsi" w:eastAsia="Times New Roman" w:hAnsiTheme="majorHAnsi" w:cs="Times New Roman"/>
          <w:color w:val="222222"/>
          <w:sz w:val="24"/>
          <w:szCs w:val="24"/>
          <w:lang w:eastAsia="bg-BG"/>
        </w:rPr>
        <w:t>Б. Електронен носител - 1 бр. .............</w:t>
      </w:r>
    </w:p>
    <w:p w14:paraId="415E445D" w14:textId="77777777" w:rsidR="0037300E" w:rsidRPr="00145E9B" w:rsidRDefault="0037300E" w:rsidP="0037300E">
      <w:pPr>
        <w:spacing w:after="0" w:line="240" w:lineRule="auto"/>
        <w:jc w:val="both"/>
        <w:rPr>
          <w:rFonts w:asciiTheme="majorHAnsi" w:eastAsia="Times New Roman" w:hAnsiTheme="majorHAnsi" w:cs="Times New Roman"/>
          <w:color w:val="222222"/>
          <w:sz w:val="24"/>
          <w:szCs w:val="24"/>
          <w:lang w:eastAsia="bg-BG"/>
        </w:rPr>
      </w:pPr>
      <w:r w:rsidRPr="00145E9B">
        <w:rPr>
          <w:rFonts w:asciiTheme="majorHAnsi" w:eastAsia="Times New Roman" w:hAnsiTheme="majorHAnsi" w:cs="Times New Roman"/>
          <w:color w:val="222222"/>
          <w:sz w:val="24"/>
          <w:szCs w:val="24"/>
          <w:lang w:eastAsia="bg-BG"/>
        </w:rPr>
        <w:t> Желая решението да бъде издадено в електронна форма и изпратено на посочения адрес на електронна поща.</w:t>
      </w:r>
    </w:p>
    <w:p w14:paraId="58716A4B" w14:textId="77777777" w:rsidR="0037300E" w:rsidRPr="00145E9B" w:rsidRDefault="0037300E" w:rsidP="0037300E">
      <w:pPr>
        <w:spacing w:after="0" w:line="240" w:lineRule="auto"/>
        <w:jc w:val="both"/>
        <w:rPr>
          <w:rFonts w:asciiTheme="majorHAnsi" w:eastAsia="Times New Roman" w:hAnsiTheme="majorHAnsi" w:cs="Times New Roman"/>
          <w:color w:val="222222"/>
          <w:sz w:val="24"/>
          <w:szCs w:val="24"/>
          <w:lang w:eastAsia="bg-BG"/>
        </w:rPr>
      </w:pPr>
      <w:r w:rsidRPr="00145E9B">
        <w:rPr>
          <w:rFonts w:asciiTheme="majorHAnsi" w:eastAsia="Times New Roman" w:hAnsiTheme="majorHAnsi" w:cs="Times New Roman"/>
          <w:color w:val="222222"/>
          <w:sz w:val="24"/>
          <w:szCs w:val="24"/>
          <w:lang w:eastAsia="bg-BG"/>
        </w:rPr>
        <w:t> Желая да получавам електронна кореспонденция във връзка с предоставяната услуга на посочения от мен адрес на електронна поща.</w:t>
      </w:r>
    </w:p>
    <w:p w14:paraId="1207962B" w14:textId="77777777" w:rsidR="0037300E" w:rsidRPr="00145E9B" w:rsidRDefault="0037300E" w:rsidP="0037300E">
      <w:pPr>
        <w:spacing w:after="0" w:line="240" w:lineRule="auto"/>
        <w:jc w:val="both"/>
        <w:rPr>
          <w:rFonts w:asciiTheme="majorHAnsi" w:eastAsia="Times New Roman" w:hAnsiTheme="majorHAnsi" w:cs="Times New Roman"/>
          <w:color w:val="222222"/>
          <w:sz w:val="24"/>
          <w:szCs w:val="24"/>
          <w:lang w:eastAsia="bg-BG"/>
        </w:rPr>
      </w:pPr>
      <w:r w:rsidRPr="00145E9B">
        <w:rPr>
          <w:rFonts w:asciiTheme="majorHAnsi" w:eastAsia="Times New Roman" w:hAnsiTheme="majorHAnsi" w:cs="Times New Roman"/>
          <w:color w:val="222222"/>
          <w:sz w:val="24"/>
          <w:szCs w:val="24"/>
          <w:lang w:eastAsia="bg-BG"/>
        </w:rPr>
        <w:t> Желая решението да бъде получено чрез лицензиран пощенски оператор.</w:t>
      </w:r>
    </w:p>
    <w:p w14:paraId="481897B5" w14:textId="77777777" w:rsidR="0037300E" w:rsidRPr="00145E9B" w:rsidRDefault="0037300E" w:rsidP="0037300E">
      <w:pPr>
        <w:spacing w:after="0" w:line="240" w:lineRule="auto"/>
        <w:jc w:val="both"/>
        <w:rPr>
          <w:rFonts w:asciiTheme="majorHAnsi" w:eastAsia="Times New Roman" w:hAnsiTheme="majorHAnsi" w:cs="Times New Roman"/>
          <w:color w:val="222222"/>
          <w:sz w:val="24"/>
          <w:szCs w:val="24"/>
          <w:lang w:eastAsia="bg-BG"/>
        </w:rPr>
      </w:pPr>
    </w:p>
    <w:p w14:paraId="7280DB69" w14:textId="77777777" w:rsidR="0037300E" w:rsidRPr="00145E9B" w:rsidRDefault="0037300E" w:rsidP="0037300E">
      <w:pPr>
        <w:spacing w:after="0" w:line="240" w:lineRule="auto"/>
        <w:jc w:val="both"/>
        <w:rPr>
          <w:rFonts w:asciiTheme="majorHAnsi" w:eastAsia="Times New Roman" w:hAnsiTheme="majorHAnsi" w:cs="Times New Roman"/>
          <w:color w:val="222222"/>
          <w:sz w:val="24"/>
          <w:szCs w:val="24"/>
          <w:lang w:eastAsia="bg-BG"/>
        </w:rPr>
      </w:pPr>
    </w:p>
    <w:p w14:paraId="3E3384E4" w14:textId="7FEE8044" w:rsidR="00A85C48" w:rsidRDefault="00A85C48">
      <w:pPr>
        <w:rPr>
          <w:rFonts w:asciiTheme="majorHAnsi" w:eastAsia="Times New Roman" w:hAnsiTheme="majorHAnsi" w:cs="Times New Roman"/>
          <w:color w:val="222222"/>
          <w:sz w:val="24"/>
          <w:szCs w:val="24"/>
          <w:lang w:eastAsia="bg-BG"/>
        </w:rPr>
      </w:pPr>
    </w:p>
    <w:p w14:paraId="7BBBB4A6" w14:textId="6B0E3F8F" w:rsidR="00DF5F23" w:rsidRDefault="00DF5F23">
      <w:pPr>
        <w:rPr>
          <w:rFonts w:asciiTheme="majorHAnsi" w:eastAsia="Times New Roman" w:hAnsiTheme="majorHAnsi" w:cs="Times New Roman"/>
          <w:color w:val="222222"/>
          <w:sz w:val="24"/>
          <w:szCs w:val="24"/>
          <w:lang w:eastAsia="bg-BG"/>
        </w:rPr>
      </w:pPr>
    </w:p>
    <w:p w14:paraId="1CA94983" w14:textId="2575E41C" w:rsidR="00DF5F23" w:rsidRDefault="00DF5F23">
      <w:pPr>
        <w:rPr>
          <w:rFonts w:asciiTheme="majorHAnsi" w:eastAsia="Times New Roman" w:hAnsiTheme="majorHAnsi" w:cs="Times New Roman"/>
          <w:color w:val="222222"/>
          <w:sz w:val="24"/>
          <w:szCs w:val="24"/>
          <w:lang w:eastAsia="bg-BG"/>
        </w:rPr>
      </w:pPr>
      <w:bookmarkStart w:id="11" w:name="_GoBack"/>
      <w:bookmarkEnd w:id="11"/>
    </w:p>
    <w:sectPr w:rsidR="00DF5F23" w:rsidSect="00F14E60">
      <w:pgSz w:w="11906" w:h="16838"/>
      <w:pgMar w:top="794" w:right="964" w:bottom="794"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5B19D0"/>
    <w:multiLevelType w:val="hybridMultilevel"/>
    <w:tmpl w:val="133C31F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15:restartNumberingAfterBreak="0">
    <w:nsid w:val="0DE36857"/>
    <w:multiLevelType w:val="hybridMultilevel"/>
    <w:tmpl w:val="30744CF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15:restartNumberingAfterBreak="0">
    <w:nsid w:val="0ECF3B32"/>
    <w:multiLevelType w:val="multilevel"/>
    <w:tmpl w:val="70C6F878"/>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FD04C19"/>
    <w:multiLevelType w:val="hybridMultilevel"/>
    <w:tmpl w:val="23E465B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15:restartNumberingAfterBreak="0">
    <w:nsid w:val="279F358B"/>
    <w:multiLevelType w:val="hybridMultilevel"/>
    <w:tmpl w:val="7730C65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5F697E22"/>
    <w:multiLevelType w:val="hybridMultilevel"/>
    <w:tmpl w:val="98324AC2"/>
    <w:lvl w:ilvl="0" w:tplc="ADE80BDE">
      <w:start w:val="1"/>
      <w:numFmt w:val="bullet"/>
      <w:lvlText w:val="-"/>
      <w:lvlJc w:val="left"/>
      <w:pPr>
        <w:ind w:left="420" w:hanging="360"/>
      </w:pPr>
      <w:rPr>
        <w:rFonts w:ascii="Times New Roman" w:eastAsia="SimSun" w:hAnsi="Times New Roman" w:cs="Times New Roman" w:hint="default"/>
      </w:rPr>
    </w:lvl>
    <w:lvl w:ilvl="1" w:tplc="04020003" w:tentative="1">
      <w:start w:val="1"/>
      <w:numFmt w:val="bullet"/>
      <w:lvlText w:val="o"/>
      <w:lvlJc w:val="left"/>
      <w:pPr>
        <w:ind w:left="1140" w:hanging="360"/>
      </w:pPr>
      <w:rPr>
        <w:rFonts w:ascii="Courier New" w:hAnsi="Courier New" w:cs="Courier New" w:hint="default"/>
      </w:rPr>
    </w:lvl>
    <w:lvl w:ilvl="2" w:tplc="04020005" w:tentative="1">
      <w:start w:val="1"/>
      <w:numFmt w:val="bullet"/>
      <w:lvlText w:val=""/>
      <w:lvlJc w:val="left"/>
      <w:pPr>
        <w:ind w:left="1860" w:hanging="360"/>
      </w:pPr>
      <w:rPr>
        <w:rFonts w:ascii="Wingdings" w:hAnsi="Wingdings" w:hint="default"/>
      </w:rPr>
    </w:lvl>
    <w:lvl w:ilvl="3" w:tplc="04020001" w:tentative="1">
      <w:start w:val="1"/>
      <w:numFmt w:val="bullet"/>
      <w:lvlText w:val=""/>
      <w:lvlJc w:val="left"/>
      <w:pPr>
        <w:ind w:left="2580" w:hanging="360"/>
      </w:pPr>
      <w:rPr>
        <w:rFonts w:ascii="Symbol" w:hAnsi="Symbol" w:hint="default"/>
      </w:rPr>
    </w:lvl>
    <w:lvl w:ilvl="4" w:tplc="04020003" w:tentative="1">
      <w:start w:val="1"/>
      <w:numFmt w:val="bullet"/>
      <w:lvlText w:val="o"/>
      <w:lvlJc w:val="left"/>
      <w:pPr>
        <w:ind w:left="3300" w:hanging="360"/>
      </w:pPr>
      <w:rPr>
        <w:rFonts w:ascii="Courier New" w:hAnsi="Courier New" w:cs="Courier New" w:hint="default"/>
      </w:rPr>
    </w:lvl>
    <w:lvl w:ilvl="5" w:tplc="04020005" w:tentative="1">
      <w:start w:val="1"/>
      <w:numFmt w:val="bullet"/>
      <w:lvlText w:val=""/>
      <w:lvlJc w:val="left"/>
      <w:pPr>
        <w:ind w:left="4020" w:hanging="360"/>
      </w:pPr>
      <w:rPr>
        <w:rFonts w:ascii="Wingdings" w:hAnsi="Wingdings" w:hint="default"/>
      </w:rPr>
    </w:lvl>
    <w:lvl w:ilvl="6" w:tplc="04020001" w:tentative="1">
      <w:start w:val="1"/>
      <w:numFmt w:val="bullet"/>
      <w:lvlText w:val=""/>
      <w:lvlJc w:val="left"/>
      <w:pPr>
        <w:ind w:left="4740" w:hanging="360"/>
      </w:pPr>
      <w:rPr>
        <w:rFonts w:ascii="Symbol" w:hAnsi="Symbol" w:hint="default"/>
      </w:rPr>
    </w:lvl>
    <w:lvl w:ilvl="7" w:tplc="04020003" w:tentative="1">
      <w:start w:val="1"/>
      <w:numFmt w:val="bullet"/>
      <w:lvlText w:val="o"/>
      <w:lvlJc w:val="left"/>
      <w:pPr>
        <w:ind w:left="5460" w:hanging="360"/>
      </w:pPr>
      <w:rPr>
        <w:rFonts w:ascii="Courier New" w:hAnsi="Courier New" w:cs="Courier New" w:hint="default"/>
      </w:rPr>
    </w:lvl>
    <w:lvl w:ilvl="8" w:tplc="04020005" w:tentative="1">
      <w:start w:val="1"/>
      <w:numFmt w:val="bullet"/>
      <w:lvlText w:val=""/>
      <w:lvlJc w:val="left"/>
      <w:pPr>
        <w:ind w:left="6180" w:hanging="360"/>
      </w:pPr>
      <w:rPr>
        <w:rFonts w:ascii="Wingdings" w:hAnsi="Wingdings" w:hint="default"/>
      </w:rPr>
    </w:lvl>
  </w:abstractNum>
  <w:num w:numId="1">
    <w:abstractNumId w:val="4"/>
  </w:num>
  <w:num w:numId="2">
    <w:abstractNumId w:val="0"/>
  </w:num>
  <w:num w:numId="3">
    <w:abstractNumId w:val="2"/>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053"/>
    <w:rsid w:val="00090656"/>
    <w:rsid w:val="00145E9B"/>
    <w:rsid w:val="0037300E"/>
    <w:rsid w:val="003C3AB7"/>
    <w:rsid w:val="003C4CE5"/>
    <w:rsid w:val="00406AA6"/>
    <w:rsid w:val="006055FB"/>
    <w:rsid w:val="00755B7D"/>
    <w:rsid w:val="00812459"/>
    <w:rsid w:val="00961796"/>
    <w:rsid w:val="00A54053"/>
    <w:rsid w:val="00A85C48"/>
    <w:rsid w:val="00CA3FD3"/>
    <w:rsid w:val="00D32743"/>
    <w:rsid w:val="00DD5234"/>
    <w:rsid w:val="00DF5F23"/>
    <w:rsid w:val="00E158C0"/>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11C7083"/>
  <w15:docId w15:val="{A59D5532-E22E-4C9E-9CFB-7DF6C8D75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D5234"/>
    <w:rPr>
      <w:color w:val="0000FF" w:themeColor="hyperlink"/>
      <w:u w:val="single"/>
    </w:rPr>
  </w:style>
  <w:style w:type="paragraph" w:customStyle="1" w:styleId="Default">
    <w:name w:val="Default"/>
    <w:rsid w:val="00DD523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4">
    <w:name w:val="Основен текст Знак"/>
    <w:basedOn w:val="a0"/>
    <w:link w:val="a5"/>
    <w:rsid w:val="00DD5234"/>
    <w:rPr>
      <w:rFonts w:ascii="Times New Roman" w:eastAsia="Times New Roman" w:hAnsi="Times New Roman" w:cs="Times New Roman"/>
    </w:rPr>
  </w:style>
  <w:style w:type="paragraph" w:styleId="a5">
    <w:name w:val="Body Text"/>
    <w:basedOn w:val="a"/>
    <w:link w:val="a4"/>
    <w:qFormat/>
    <w:rsid w:val="00DD5234"/>
    <w:pPr>
      <w:widowControl w:val="0"/>
      <w:spacing w:after="0" w:line="240" w:lineRule="auto"/>
    </w:pPr>
    <w:rPr>
      <w:rFonts w:ascii="Times New Roman" w:eastAsia="Times New Roman" w:hAnsi="Times New Roman" w:cs="Times New Roman"/>
    </w:rPr>
  </w:style>
  <w:style w:type="character" w:customStyle="1" w:styleId="1">
    <w:name w:val="Основен текст Знак1"/>
    <w:basedOn w:val="a0"/>
    <w:uiPriority w:val="99"/>
    <w:semiHidden/>
    <w:rsid w:val="00DD5234"/>
  </w:style>
  <w:style w:type="character" w:styleId="a6">
    <w:name w:val="annotation reference"/>
    <w:basedOn w:val="a0"/>
    <w:uiPriority w:val="99"/>
    <w:semiHidden/>
    <w:unhideWhenUsed/>
    <w:rsid w:val="00DD5234"/>
    <w:rPr>
      <w:sz w:val="16"/>
      <w:szCs w:val="16"/>
    </w:rPr>
  </w:style>
  <w:style w:type="paragraph" w:styleId="a7">
    <w:name w:val="annotation text"/>
    <w:basedOn w:val="a"/>
    <w:link w:val="a8"/>
    <w:uiPriority w:val="99"/>
    <w:semiHidden/>
    <w:unhideWhenUsed/>
    <w:rsid w:val="00DD5234"/>
    <w:pPr>
      <w:spacing w:after="160" w:line="240" w:lineRule="auto"/>
    </w:pPr>
    <w:rPr>
      <w:sz w:val="20"/>
      <w:szCs w:val="20"/>
    </w:rPr>
  </w:style>
  <w:style w:type="character" w:customStyle="1" w:styleId="a8">
    <w:name w:val="Текст на коментар Знак"/>
    <w:basedOn w:val="a0"/>
    <w:link w:val="a7"/>
    <w:uiPriority w:val="99"/>
    <w:semiHidden/>
    <w:rsid w:val="00DD5234"/>
    <w:rPr>
      <w:sz w:val="20"/>
      <w:szCs w:val="20"/>
    </w:rPr>
  </w:style>
  <w:style w:type="paragraph" w:styleId="a9">
    <w:name w:val="List Paragraph"/>
    <w:aliases w:val="List Paragraph (numbered (a)),List Paragraph1,References,Numbered List Paragraph,Numbered Paragraph,Main numbered paragraph,List_Paragraph,Multilevel para_II,Bullets,IBL List Paragraph,List Paragraph nowy,본문(내용),Forth level"/>
    <w:basedOn w:val="a"/>
    <w:link w:val="aa"/>
    <w:uiPriority w:val="1"/>
    <w:qFormat/>
    <w:rsid w:val="00DD5234"/>
    <w:pPr>
      <w:ind w:left="720"/>
      <w:contextualSpacing/>
    </w:pPr>
  </w:style>
  <w:style w:type="character" w:customStyle="1" w:styleId="aa">
    <w:name w:val="Списък на абзаци Знак"/>
    <w:aliases w:val="List Paragraph (numbered (a)) Знак,List Paragraph1 Знак,References Знак,Numbered List Paragraph Знак,Numbered Paragraph Знак,Main numbered paragraph Знак,List_Paragraph Знак,Multilevel para_II Знак,Bullets Знак,본문(내용) Знак"/>
    <w:link w:val="a9"/>
    <w:uiPriority w:val="34"/>
    <w:locked/>
    <w:rsid w:val="00DD5234"/>
  </w:style>
  <w:style w:type="character" w:customStyle="1" w:styleId="Heading1">
    <w:name w:val="Heading #1_"/>
    <w:basedOn w:val="a0"/>
    <w:link w:val="Heading10"/>
    <w:rsid w:val="003C3AB7"/>
    <w:rPr>
      <w:rFonts w:ascii="Times New Roman" w:eastAsia="Times New Roman" w:hAnsi="Times New Roman" w:cs="Times New Roman"/>
      <w:b/>
      <w:bCs/>
    </w:rPr>
  </w:style>
  <w:style w:type="paragraph" w:customStyle="1" w:styleId="Heading10">
    <w:name w:val="Heading #1"/>
    <w:basedOn w:val="a"/>
    <w:link w:val="Heading1"/>
    <w:rsid w:val="003C3AB7"/>
    <w:pPr>
      <w:widowControl w:val="0"/>
      <w:spacing w:after="0" w:line="250" w:lineRule="auto"/>
      <w:ind w:firstLine="190"/>
      <w:outlineLvl w:val="0"/>
    </w:pPr>
    <w:rPr>
      <w:rFonts w:ascii="Times New Roman" w:eastAsia="Times New Roman" w:hAnsi="Times New Roman" w:cs="Times New Roman"/>
      <w:b/>
      <w:bCs/>
    </w:rPr>
  </w:style>
  <w:style w:type="character" w:customStyle="1" w:styleId="Other">
    <w:name w:val="Other_"/>
    <w:basedOn w:val="a0"/>
    <w:link w:val="Other0"/>
    <w:rsid w:val="003C3AB7"/>
    <w:rPr>
      <w:rFonts w:ascii="Times New Roman" w:eastAsia="Times New Roman" w:hAnsi="Times New Roman" w:cs="Times New Roman"/>
    </w:rPr>
  </w:style>
  <w:style w:type="paragraph" w:customStyle="1" w:styleId="Other0">
    <w:name w:val="Other"/>
    <w:basedOn w:val="a"/>
    <w:link w:val="Other"/>
    <w:rsid w:val="003C3AB7"/>
    <w:pPr>
      <w:widowControl w:val="0"/>
      <w:spacing w:after="0" w:line="240" w:lineRule="auto"/>
      <w:ind w:firstLine="400"/>
    </w:pPr>
    <w:rPr>
      <w:rFonts w:ascii="Times New Roman" w:eastAsia="Times New Roman" w:hAnsi="Times New Roman" w:cs="Times New Roman"/>
    </w:rPr>
  </w:style>
  <w:style w:type="paragraph" w:styleId="ab">
    <w:name w:val="header"/>
    <w:basedOn w:val="a"/>
    <w:link w:val="ac"/>
    <w:uiPriority w:val="99"/>
    <w:unhideWhenUsed/>
    <w:rsid w:val="00961796"/>
    <w:pPr>
      <w:tabs>
        <w:tab w:val="center" w:pos="4536"/>
        <w:tab w:val="right" w:pos="9072"/>
      </w:tabs>
      <w:spacing w:after="0" w:line="240" w:lineRule="auto"/>
    </w:pPr>
  </w:style>
  <w:style w:type="character" w:customStyle="1" w:styleId="ac">
    <w:name w:val="Горен колонтитул Знак"/>
    <w:basedOn w:val="a0"/>
    <w:link w:val="ab"/>
    <w:uiPriority w:val="99"/>
    <w:rsid w:val="009617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9630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hyperlink" Target="https://www.sp2023.bg/index.php/bg/sprzsr-bg/za-sprzsr"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5896</Words>
  <Characters>33608</Characters>
  <Application>Microsoft Office Word</Application>
  <DocSecurity>0</DocSecurity>
  <Lines>280</Lines>
  <Paragraphs>78</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Milova</dc:creator>
  <cp:keywords/>
  <dc:description/>
  <cp:lastModifiedBy>Yanitsa Ivanova</cp:lastModifiedBy>
  <cp:revision>2</cp:revision>
  <cp:lastPrinted>2020-02-25T11:14:00Z</cp:lastPrinted>
  <dcterms:created xsi:type="dcterms:W3CDTF">2025-06-17T11:59:00Z</dcterms:created>
  <dcterms:modified xsi:type="dcterms:W3CDTF">2025-06-17T11:59:00Z</dcterms:modified>
</cp:coreProperties>
</file>