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394"/>
        <w:gridCol w:w="847"/>
        <w:gridCol w:w="853"/>
        <w:gridCol w:w="708"/>
        <w:gridCol w:w="2125"/>
        <w:gridCol w:w="850"/>
        <w:gridCol w:w="1136"/>
        <w:gridCol w:w="992"/>
        <w:gridCol w:w="1133"/>
        <w:gridCol w:w="1136"/>
        <w:gridCol w:w="850"/>
        <w:gridCol w:w="992"/>
        <w:gridCol w:w="850"/>
        <w:gridCol w:w="902"/>
        <w:gridCol w:w="688"/>
      </w:tblGrid>
      <w:tr w:rsidR="00281E46" w:rsidRPr="00446A2A" w:rsidTr="00446A2A">
        <w:trPr>
          <w:trHeight w:val="600"/>
        </w:trPr>
        <w:tc>
          <w:tcPr>
            <w:tcW w:w="136" w:type="pct"/>
            <w:vMerge w:val="restart"/>
          </w:tcPr>
          <w:p w:rsidR="00281E46" w:rsidRPr="00446A2A" w:rsidRDefault="00281E46" w:rsidP="00D95568">
            <w:pPr>
              <w:pStyle w:val="a4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  <w:lang w:val="en-US"/>
              </w:rPr>
              <w:t xml:space="preserve"> </w:t>
            </w:r>
            <w:r w:rsidRPr="00446A2A">
              <w:rPr>
                <w:sz w:val="16"/>
                <w:szCs w:val="16"/>
              </w:rPr>
              <w:t>№ по ред</w:t>
            </w:r>
          </w:p>
        </w:tc>
        <w:tc>
          <w:tcPr>
            <w:tcW w:w="293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Вид на депото</w:t>
            </w:r>
          </w:p>
        </w:tc>
        <w:tc>
          <w:tcPr>
            <w:tcW w:w="295" w:type="pct"/>
            <w:vMerge w:val="restart"/>
          </w:tcPr>
          <w:p w:rsidR="00281E46" w:rsidRPr="00446A2A" w:rsidRDefault="00281E46" w:rsidP="00D95568">
            <w:pPr>
              <w:pStyle w:val="a4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Община</w:t>
            </w:r>
          </w:p>
        </w:tc>
        <w:tc>
          <w:tcPr>
            <w:tcW w:w="980" w:type="pct"/>
            <w:gridSpan w:val="2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депонирани неопасни отпадъци</w:t>
            </w:r>
          </w:p>
        </w:tc>
        <w:tc>
          <w:tcPr>
            <w:tcW w:w="294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Размер на отчисленията по чл.60 (</w:t>
            </w:r>
            <w:proofErr w:type="spellStart"/>
            <w:r w:rsidRPr="00446A2A">
              <w:rPr>
                <w:sz w:val="16"/>
                <w:szCs w:val="16"/>
              </w:rPr>
              <w:t>лв</w:t>
            </w:r>
            <w:proofErr w:type="spellEnd"/>
            <w:r w:rsidRPr="00446A2A">
              <w:rPr>
                <w:sz w:val="16"/>
                <w:szCs w:val="16"/>
              </w:rPr>
              <w:t>/тон)</w:t>
            </w:r>
          </w:p>
        </w:tc>
        <w:tc>
          <w:tcPr>
            <w:tcW w:w="393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чл.60 ЗУО</w:t>
            </w:r>
          </w:p>
        </w:tc>
        <w:tc>
          <w:tcPr>
            <w:tcW w:w="343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Постъпили в сметката на РИОСВ отчисления по чл.64 ЗУО</w:t>
            </w:r>
          </w:p>
        </w:tc>
        <w:tc>
          <w:tcPr>
            <w:tcW w:w="392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чл.60 ЗУО</w:t>
            </w:r>
          </w:p>
        </w:tc>
        <w:tc>
          <w:tcPr>
            <w:tcW w:w="393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Следва да постъпят  в сметката на РИОСВ отчисления по чл.64 ЗУО</w:t>
            </w:r>
          </w:p>
        </w:tc>
        <w:tc>
          <w:tcPr>
            <w:tcW w:w="294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 по чл. 60</w:t>
            </w:r>
          </w:p>
        </w:tc>
        <w:tc>
          <w:tcPr>
            <w:tcW w:w="343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Остава да постъпят по чл.64</w:t>
            </w:r>
          </w:p>
        </w:tc>
        <w:tc>
          <w:tcPr>
            <w:tcW w:w="294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Дължима лихва</w:t>
            </w:r>
          </w:p>
        </w:tc>
        <w:tc>
          <w:tcPr>
            <w:tcW w:w="312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Натрупана лихва за отчисленията по чл.64</w:t>
            </w:r>
          </w:p>
        </w:tc>
        <w:tc>
          <w:tcPr>
            <w:tcW w:w="238" w:type="pct"/>
            <w:vMerge w:val="restar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Израз-ходе-ни</w:t>
            </w:r>
            <w:proofErr w:type="spellEnd"/>
            <w:r w:rsidRPr="00446A2A">
              <w:rPr>
                <w:sz w:val="16"/>
                <w:szCs w:val="16"/>
              </w:rPr>
              <w:t xml:space="preserve"> средства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3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5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Период от време (месеци)</w:t>
            </w: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Количество (тонове)</w:t>
            </w:r>
          </w:p>
        </w:tc>
        <w:tc>
          <w:tcPr>
            <w:tcW w:w="294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2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  <w:vMerge/>
          </w:tcPr>
          <w:p w:rsidR="00281E46" w:rsidRPr="00446A2A" w:rsidRDefault="00281E46" w:rsidP="00446A2A">
            <w:pPr>
              <w:spacing w:after="0" w:line="240" w:lineRule="auto"/>
            </w:pP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 xml:space="preserve">Пловдив </w:t>
            </w:r>
            <w:proofErr w:type="spellStart"/>
            <w:r w:rsidRPr="00446A2A">
              <w:rPr>
                <w:sz w:val="16"/>
                <w:szCs w:val="16"/>
              </w:rPr>
              <w:t>Цалапи-ца</w:t>
            </w:r>
            <w:proofErr w:type="spellEnd"/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Общо приети количества – 65325.32</w:t>
            </w:r>
          </w:p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Оп</w:t>
            </w:r>
            <w:r>
              <w:rPr>
                <w:sz w:val="16"/>
                <w:szCs w:val="16"/>
              </w:rPr>
              <w:t>олзотворени количества – 44474.30</w:t>
            </w:r>
          </w:p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Депонирани количества – 20851.02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4.77</w:t>
            </w:r>
          </w:p>
        </w:tc>
        <w:tc>
          <w:tcPr>
            <w:tcW w:w="393" w:type="pct"/>
          </w:tcPr>
          <w:p w:rsidR="00281E46" w:rsidRPr="0078572E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79319.85</w:t>
            </w:r>
          </w:p>
        </w:tc>
        <w:tc>
          <w:tcPr>
            <w:tcW w:w="343" w:type="pct"/>
          </w:tcPr>
          <w:p w:rsidR="00281E46" w:rsidRPr="0078572E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284819.92</w:t>
            </w:r>
          </w:p>
        </w:tc>
        <w:tc>
          <w:tcPr>
            <w:tcW w:w="392" w:type="pct"/>
          </w:tcPr>
          <w:p w:rsidR="00281E46" w:rsidRPr="00446A2A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</w:rPr>
            </w:pPr>
            <w:r>
              <w:rPr>
                <w:sz w:val="16"/>
                <w:szCs w:val="16"/>
              </w:rPr>
              <w:t>79319.85</w:t>
            </w: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284819.92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343" w:type="pct"/>
          </w:tcPr>
          <w:p w:rsidR="00281E46" w:rsidRPr="0078572E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2</w:t>
            </w: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Пловдив Шишманци</w:t>
            </w: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1,2.3</w:t>
            </w: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Депонирани количества – 6</w:t>
            </w:r>
            <w:r>
              <w:rPr>
                <w:sz w:val="16"/>
                <w:szCs w:val="16"/>
              </w:rPr>
              <w:t>748.537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3.33</w:t>
            </w:r>
          </w:p>
        </w:tc>
        <w:tc>
          <w:tcPr>
            <w:tcW w:w="393" w:type="pct"/>
          </w:tcPr>
          <w:p w:rsidR="00281E46" w:rsidRPr="00355033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2472.24</w:t>
            </w:r>
          </w:p>
        </w:tc>
        <w:tc>
          <w:tcPr>
            <w:tcW w:w="343" w:type="pct"/>
          </w:tcPr>
          <w:p w:rsidR="00281E46" w:rsidRPr="00355033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07865.26</w:t>
            </w:r>
          </w:p>
        </w:tc>
        <w:tc>
          <w:tcPr>
            <w:tcW w:w="392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2472.24</w:t>
            </w: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07865.26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446A2A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Карлово</w:t>
            </w: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7335.34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1.20</w:t>
            </w: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802.41</w:t>
            </w: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92" w:type="pct"/>
          </w:tcPr>
          <w:p w:rsidR="00281E46" w:rsidRPr="00E662F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8</w:t>
            </w:r>
            <w:r>
              <w:rPr>
                <w:sz w:val="16"/>
                <w:szCs w:val="16"/>
              </w:rPr>
              <w:t>802.41</w:t>
            </w:r>
          </w:p>
        </w:tc>
        <w:tc>
          <w:tcPr>
            <w:tcW w:w="393" w:type="pct"/>
          </w:tcPr>
          <w:p w:rsidR="00281E46" w:rsidRPr="00E662F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94" w:type="pct"/>
          </w:tcPr>
          <w:p w:rsidR="00281E46" w:rsidRPr="00E662F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343" w:type="pct"/>
          </w:tcPr>
          <w:p w:rsidR="00281E46" w:rsidRPr="00E662F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0.0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4</w:t>
            </w:r>
          </w:p>
        </w:tc>
        <w:tc>
          <w:tcPr>
            <w:tcW w:w="293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83891">
              <w:rPr>
                <w:sz w:val="16"/>
                <w:szCs w:val="16"/>
              </w:rPr>
              <w:t>Регио-нално</w:t>
            </w:r>
            <w:proofErr w:type="spellEnd"/>
          </w:p>
        </w:tc>
        <w:tc>
          <w:tcPr>
            <w:tcW w:w="295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Асенов-град</w:t>
            </w:r>
          </w:p>
        </w:tc>
        <w:tc>
          <w:tcPr>
            <w:tcW w:w="245" w:type="pct"/>
          </w:tcPr>
          <w:p w:rsidR="00281E46" w:rsidRPr="00783891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  <w:lang w:val="en-US"/>
              </w:rPr>
            </w:pPr>
            <w:r w:rsidRPr="00783891">
              <w:rPr>
                <w:rFonts w:cs="Times"/>
                <w:sz w:val="16"/>
                <w:szCs w:val="16"/>
                <w:lang w:val="en-US"/>
              </w:rPr>
              <w:t>1,2,3</w:t>
            </w:r>
          </w:p>
        </w:tc>
        <w:tc>
          <w:tcPr>
            <w:tcW w:w="735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7496.88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6632.89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289919.28</w:t>
            </w:r>
          </w:p>
        </w:tc>
        <w:tc>
          <w:tcPr>
            <w:tcW w:w="392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6632.89</w:t>
            </w: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289919.28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Битови</w:t>
            </w:r>
          </w:p>
        </w:tc>
        <w:tc>
          <w:tcPr>
            <w:tcW w:w="245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7271.14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0.87</w:t>
            </w: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6325.89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203591.92</w:t>
            </w:r>
          </w:p>
        </w:tc>
        <w:tc>
          <w:tcPr>
            <w:tcW w:w="392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6325.89</w:t>
            </w: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203591.92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93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95" w:type="pct"/>
          </w:tcPr>
          <w:p w:rsidR="00281E46" w:rsidRPr="00783891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83891">
              <w:rPr>
                <w:sz w:val="16"/>
                <w:szCs w:val="16"/>
              </w:rPr>
              <w:t>Строи-телни</w:t>
            </w:r>
            <w:proofErr w:type="spellEnd"/>
          </w:p>
        </w:tc>
        <w:tc>
          <w:tcPr>
            <w:tcW w:w="245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225.74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1.36</w:t>
            </w: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307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783891">
              <w:rPr>
                <w:sz w:val="16"/>
                <w:szCs w:val="16"/>
              </w:rPr>
              <w:t>6320.72</w:t>
            </w:r>
          </w:p>
        </w:tc>
        <w:tc>
          <w:tcPr>
            <w:tcW w:w="392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307</w:t>
            </w:r>
          </w:p>
        </w:tc>
        <w:tc>
          <w:tcPr>
            <w:tcW w:w="393" w:type="pct"/>
          </w:tcPr>
          <w:p w:rsidR="00281E46" w:rsidRPr="00783891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</w:rPr>
              <w:t>6320.72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783891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783891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783891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5</w:t>
            </w: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Общинско</w:t>
            </w:r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Родопи</w:t>
            </w: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446A2A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2726.70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281E46" w:rsidRPr="00566E8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43270.08</w:t>
            </w:r>
          </w:p>
        </w:tc>
        <w:tc>
          <w:tcPr>
            <w:tcW w:w="392" w:type="pct"/>
          </w:tcPr>
          <w:p w:rsidR="00281E46" w:rsidRPr="00566E8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</w:tcPr>
          <w:p w:rsidR="00281E46" w:rsidRPr="00566E8B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</w:rPr>
            </w:pPr>
            <w:r>
              <w:rPr>
                <w:rFonts w:cs="Times"/>
                <w:sz w:val="16"/>
                <w:szCs w:val="16"/>
              </w:rPr>
              <w:t>76347.60</w:t>
            </w:r>
          </w:p>
        </w:tc>
        <w:tc>
          <w:tcPr>
            <w:tcW w:w="294" w:type="pct"/>
          </w:tcPr>
          <w:p w:rsidR="00281E46" w:rsidRPr="00A843B1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43" w:type="pct"/>
          </w:tcPr>
          <w:p w:rsidR="00281E46" w:rsidRPr="00566E8B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33077.52</w:t>
            </w: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446A2A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6</w:t>
            </w:r>
          </w:p>
        </w:tc>
        <w:tc>
          <w:tcPr>
            <w:tcW w:w="293" w:type="pct"/>
          </w:tcPr>
          <w:p w:rsidR="00281E46" w:rsidRPr="00DF4F39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 xml:space="preserve">Депо за </w:t>
            </w:r>
            <w:proofErr w:type="spellStart"/>
            <w:r w:rsidRPr="00DF4F39">
              <w:rPr>
                <w:sz w:val="16"/>
                <w:szCs w:val="16"/>
              </w:rPr>
              <w:t>произ-водст-вени</w:t>
            </w:r>
            <w:proofErr w:type="spellEnd"/>
            <w:r w:rsidRPr="00DF4F39">
              <w:rPr>
                <w:sz w:val="16"/>
                <w:szCs w:val="16"/>
              </w:rPr>
              <w:t xml:space="preserve"> и опасни </w:t>
            </w:r>
            <w:proofErr w:type="spellStart"/>
            <w:r w:rsidRPr="00DF4F39">
              <w:rPr>
                <w:sz w:val="16"/>
                <w:szCs w:val="16"/>
              </w:rPr>
              <w:t>отпа-дъци</w:t>
            </w:r>
            <w:proofErr w:type="spellEnd"/>
          </w:p>
        </w:tc>
        <w:tc>
          <w:tcPr>
            <w:tcW w:w="295" w:type="pct"/>
          </w:tcPr>
          <w:p w:rsidR="00281E46" w:rsidRPr="00DF4F39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„КЦМ“ АД</w:t>
            </w:r>
          </w:p>
        </w:tc>
        <w:tc>
          <w:tcPr>
            <w:tcW w:w="245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3152.95</w:t>
            </w:r>
          </w:p>
        </w:tc>
        <w:tc>
          <w:tcPr>
            <w:tcW w:w="294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2.44</w:t>
            </w:r>
          </w:p>
        </w:tc>
        <w:tc>
          <w:tcPr>
            <w:tcW w:w="393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7693.19</w:t>
            </w:r>
          </w:p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343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F4F39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281E46" w:rsidRPr="00DF4F39" w:rsidRDefault="00281E46" w:rsidP="005E2A0C">
            <w:pPr>
              <w:spacing w:after="0" w:line="240" w:lineRule="auto"/>
              <w:rPr>
                <w:sz w:val="16"/>
                <w:szCs w:val="16"/>
              </w:rPr>
            </w:pPr>
            <w:r w:rsidRPr="00DF4F39">
              <w:rPr>
                <w:sz w:val="16"/>
                <w:szCs w:val="16"/>
              </w:rPr>
              <w:t>7693.19</w:t>
            </w:r>
          </w:p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</w:p>
        </w:tc>
        <w:tc>
          <w:tcPr>
            <w:tcW w:w="393" w:type="pct"/>
          </w:tcPr>
          <w:p w:rsidR="00281E46" w:rsidRPr="00DF4F39" w:rsidRDefault="00281E46" w:rsidP="00446A2A">
            <w:pPr>
              <w:spacing w:after="0" w:line="240" w:lineRule="auto"/>
              <w:rPr>
                <w:rFonts w:cs="Times"/>
                <w:sz w:val="16"/>
                <w:szCs w:val="16"/>
                <w:lang w:val="en-US"/>
              </w:rPr>
            </w:pPr>
            <w:r w:rsidRPr="00DF4F39">
              <w:rPr>
                <w:rFonts w:cs="Times"/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F4F3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F4F39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DF4F39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DF4F39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DF4F39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DF4F39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7</w:t>
            </w:r>
          </w:p>
        </w:tc>
        <w:tc>
          <w:tcPr>
            <w:tcW w:w="293" w:type="pct"/>
          </w:tcPr>
          <w:p w:rsidR="00281E46" w:rsidRPr="00FA50A4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 xml:space="preserve">Депо за производствени </w:t>
            </w:r>
            <w:proofErr w:type="spellStart"/>
            <w:r w:rsidRPr="00FA50A4">
              <w:rPr>
                <w:sz w:val="16"/>
                <w:szCs w:val="16"/>
              </w:rPr>
              <w:t>отпа-дъци</w:t>
            </w:r>
            <w:proofErr w:type="spellEnd"/>
          </w:p>
        </w:tc>
        <w:tc>
          <w:tcPr>
            <w:tcW w:w="295" w:type="pct"/>
          </w:tcPr>
          <w:p w:rsidR="00281E46" w:rsidRPr="00FA50A4" w:rsidRDefault="00281E46" w:rsidP="00446A2A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„МОНДИ“ ЕАД</w:t>
            </w:r>
          </w:p>
        </w:tc>
        <w:tc>
          <w:tcPr>
            <w:tcW w:w="245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1,2,3</w:t>
            </w:r>
          </w:p>
        </w:tc>
        <w:tc>
          <w:tcPr>
            <w:tcW w:w="735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1159.612</w:t>
            </w:r>
          </w:p>
        </w:tc>
        <w:tc>
          <w:tcPr>
            <w:tcW w:w="294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5.95</w:t>
            </w:r>
          </w:p>
        </w:tc>
        <w:tc>
          <w:tcPr>
            <w:tcW w:w="393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</w:rPr>
            </w:pPr>
            <w:r w:rsidRPr="00FA50A4">
              <w:rPr>
                <w:sz w:val="16"/>
                <w:szCs w:val="16"/>
              </w:rPr>
              <w:t>6899.68</w:t>
            </w:r>
          </w:p>
        </w:tc>
        <w:tc>
          <w:tcPr>
            <w:tcW w:w="343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  <w:lang w:val="en-US"/>
              </w:rPr>
              <w:t>-</w:t>
            </w:r>
          </w:p>
        </w:tc>
        <w:tc>
          <w:tcPr>
            <w:tcW w:w="392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</w:rPr>
              <w:t>6899.68</w:t>
            </w:r>
          </w:p>
        </w:tc>
        <w:tc>
          <w:tcPr>
            <w:tcW w:w="393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343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294" w:type="pct"/>
          </w:tcPr>
          <w:p w:rsidR="00281E46" w:rsidRPr="00FA50A4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FA50A4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FA50A4" w:rsidRDefault="00281E46" w:rsidP="00446A2A">
            <w:pPr>
              <w:spacing w:after="0" w:line="240" w:lineRule="auto"/>
              <w:rPr>
                <w:sz w:val="16"/>
                <w:szCs w:val="16"/>
                <w:lang w:val="en-US"/>
              </w:rPr>
            </w:pPr>
            <w:r w:rsidRPr="00FA50A4">
              <w:rPr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</w:rPr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  <w:rPr>
                <w:rFonts w:ascii="Times" w:hAnsi="Times"/>
                <w:sz w:val="16"/>
                <w:szCs w:val="16"/>
                <w:lang w:val="en-US"/>
              </w:rPr>
            </w:pPr>
            <w:r w:rsidRPr="00446A2A">
              <w:rPr>
                <w:rFonts w:ascii="Times" w:hAnsi="Times"/>
                <w:sz w:val="16"/>
                <w:szCs w:val="16"/>
                <w:lang w:val="en-US"/>
              </w:rPr>
              <w:t>0.0</w:t>
            </w: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</w:tr>
      <w:tr w:rsidR="00281E46" w:rsidRPr="00446A2A" w:rsidTr="00446A2A">
        <w:trPr>
          <w:trHeight w:val="480"/>
        </w:trPr>
        <w:tc>
          <w:tcPr>
            <w:tcW w:w="136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4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735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9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43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94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312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  <w:tc>
          <w:tcPr>
            <w:tcW w:w="238" w:type="pct"/>
          </w:tcPr>
          <w:p w:rsidR="00281E46" w:rsidRPr="00446A2A" w:rsidRDefault="00281E46" w:rsidP="00446A2A">
            <w:pPr>
              <w:spacing w:after="0" w:line="240" w:lineRule="auto"/>
            </w:pPr>
          </w:p>
        </w:tc>
      </w:tr>
    </w:tbl>
    <w:p w:rsidR="00281E46" w:rsidRDefault="00281E46"/>
    <w:sectPr w:rsidR="00281E46" w:rsidSect="00D955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E46" w:rsidRDefault="00281E46" w:rsidP="003979CE">
      <w:pPr>
        <w:spacing w:after="0" w:line="240" w:lineRule="auto"/>
      </w:pPr>
      <w:r>
        <w:separator/>
      </w:r>
    </w:p>
  </w:endnote>
  <w:endnote w:type="continuationSeparator" w:id="0">
    <w:p w:rsidR="00281E46" w:rsidRDefault="00281E46" w:rsidP="00397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6" w:rsidRDefault="001C2FC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6" w:rsidRDefault="001C2FC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6" w:rsidRDefault="001C2FC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E46" w:rsidRDefault="00281E46" w:rsidP="003979CE">
      <w:pPr>
        <w:spacing w:after="0" w:line="240" w:lineRule="auto"/>
      </w:pPr>
      <w:r>
        <w:separator/>
      </w:r>
    </w:p>
  </w:footnote>
  <w:footnote w:type="continuationSeparator" w:id="0">
    <w:p w:rsidR="00281E46" w:rsidRDefault="00281E46" w:rsidP="00397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6" w:rsidRDefault="001C2FC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1E46" w:rsidRPr="003979CE" w:rsidRDefault="00281E46" w:rsidP="003979CE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 xml:space="preserve">ИНФОРМАЦИЯ ЗА </w:t>
    </w:r>
    <w:r w:rsidR="001C2FC6">
      <w:rPr>
        <w:rFonts w:ascii="Cambria" w:hAnsi="Cambria"/>
        <w:sz w:val="32"/>
        <w:szCs w:val="32"/>
      </w:rPr>
      <w:t>ПЪРВО</w:t>
    </w:r>
    <w:bookmarkStart w:id="0" w:name="_GoBack"/>
    <w:bookmarkEnd w:id="0"/>
    <w:r>
      <w:rPr>
        <w:rFonts w:ascii="Cambria" w:hAnsi="Cambria"/>
        <w:sz w:val="32"/>
        <w:szCs w:val="32"/>
      </w:rPr>
      <w:t xml:space="preserve"> ТРИМЕСЕЧИЕ НА 2015</w:t>
    </w:r>
    <w:r w:rsidRPr="003979CE">
      <w:rPr>
        <w:rFonts w:ascii="Cambria" w:hAnsi="Cambria"/>
        <w:sz w:val="32"/>
        <w:szCs w:val="32"/>
      </w:rPr>
      <w:t>Г., СЪГЛАСНО ИЗИСКВАНИЯТА НА ЧЛ.29 ОТ НАРЕДБА 7 ОТ 19.12.2013Г.</w:t>
    </w:r>
  </w:p>
  <w:p w:rsidR="00281E46" w:rsidRDefault="00281E46">
    <w:pPr>
      <w:pStyle w:val="a5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</w:p>
  <w:p w:rsidR="00281E46" w:rsidRPr="003979CE" w:rsidRDefault="00281E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C6" w:rsidRDefault="001C2FC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4DFB"/>
    <w:rsid w:val="00056269"/>
    <w:rsid w:val="00065872"/>
    <w:rsid w:val="00075BB3"/>
    <w:rsid w:val="000764AD"/>
    <w:rsid w:val="00136B99"/>
    <w:rsid w:val="00140EF3"/>
    <w:rsid w:val="00160BB4"/>
    <w:rsid w:val="0019154E"/>
    <w:rsid w:val="001C2FC6"/>
    <w:rsid w:val="001D0857"/>
    <w:rsid w:val="001E4F3F"/>
    <w:rsid w:val="001F707F"/>
    <w:rsid w:val="002132C2"/>
    <w:rsid w:val="00235410"/>
    <w:rsid w:val="00257E51"/>
    <w:rsid w:val="00281E46"/>
    <w:rsid w:val="002A1CCA"/>
    <w:rsid w:val="002F7511"/>
    <w:rsid w:val="00302D50"/>
    <w:rsid w:val="00320295"/>
    <w:rsid w:val="00322F47"/>
    <w:rsid w:val="003510BE"/>
    <w:rsid w:val="0035338D"/>
    <w:rsid w:val="00355033"/>
    <w:rsid w:val="003979CE"/>
    <w:rsid w:val="003B4A07"/>
    <w:rsid w:val="00446A2A"/>
    <w:rsid w:val="004542C1"/>
    <w:rsid w:val="0048603F"/>
    <w:rsid w:val="004E1F53"/>
    <w:rsid w:val="00566E8B"/>
    <w:rsid w:val="005B2D90"/>
    <w:rsid w:val="005E2A0C"/>
    <w:rsid w:val="005E2D3B"/>
    <w:rsid w:val="005F3EBC"/>
    <w:rsid w:val="00641E4A"/>
    <w:rsid w:val="006F6A14"/>
    <w:rsid w:val="007606F7"/>
    <w:rsid w:val="00762FEA"/>
    <w:rsid w:val="00774CEE"/>
    <w:rsid w:val="00783891"/>
    <w:rsid w:val="0078572E"/>
    <w:rsid w:val="00785755"/>
    <w:rsid w:val="00807EE5"/>
    <w:rsid w:val="008111A1"/>
    <w:rsid w:val="00845961"/>
    <w:rsid w:val="008B3F79"/>
    <w:rsid w:val="00917828"/>
    <w:rsid w:val="00922477"/>
    <w:rsid w:val="00982CDD"/>
    <w:rsid w:val="009A47FC"/>
    <w:rsid w:val="009B3CA8"/>
    <w:rsid w:val="009F6E8E"/>
    <w:rsid w:val="00A14FF5"/>
    <w:rsid w:val="00A23D73"/>
    <w:rsid w:val="00A461C7"/>
    <w:rsid w:val="00A843B1"/>
    <w:rsid w:val="00A879BE"/>
    <w:rsid w:val="00AF2480"/>
    <w:rsid w:val="00BA3288"/>
    <w:rsid w:val="00BB3B00"/>
    <w:rsid w:val="00BD5F21"/>
    <w:rsid w:val="00C376D8"/>
    <w:rsid w:val="00C6368B"/>
    <w:rsid w:val="00C64DFB"/>
    <w:rsid w:val="00D209D7"/>
    <w:rsid w:val="00D95568"/>
    <w:rsid w:val="00DA1D50"/>
    <w:rsid w:val="00DA6351"/>
    <w:rsid w:val="00DC6BEA"/>
    <w:rsid w:val="00DD2B31"/>
    <w:rsid w:val="00DE3939"/>
    <w:rsid w:val="00DF4F39"/>
    <w:rsid w:val="00DF5EF9"/>
    <w:rsid w:val="00E50C6D"/>
    <w:rsid w:val="00E65173"/>
    <w:rsid w:val="00E662FB"/>
    <w:rsid w:val="00E70D78"/>
    <w:rsid w:val="00E96D43"/>
    <w:rsid w:val="00EF66EA"/>
    <w:rsid w:val="00FA50A4"/>
    <w:rsid w:val="00FB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A0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556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D95568"/>
    <w:rPr>
      <w:lang w:eastAsia="en-US"/>
    </w:rPr>
  </w:style>
  <w:style w:type="paragraph" w:styleId="a5">
    <w:name w:val="header"/>
    <w:basedOn w:val="a"/>
    <w:link w:val="a6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locked/>
    <w:rsid w:val="003979CE"/>
    <w:rPr>
      <w:rFonts w:cs="Times New Roman"/>
    </w:rPr>
  </w:style>
  <w:style w:type="paragraph" w:styleId="a7">
    <w:name w:val="footer"/>
    <w:basedOn w:val="a"/>
    <w:link w:val="a8"/>
    <w:uiPriority w:val="99"/>
    <w:rsid w:val="003979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locked/>
    <w:rsid w:val="003979CE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397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locked/>
    <w:rsid w:val="003979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2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№ по ред</dc:title>
  <dc:subject/>
  <dc:creator>Steriu Dimitrov</dc:creator>
  <cp:keywords/>
  <dc:description/>
  <cp:lastModifiedBy>Маргарита Чакърова</cp:lastModifiedBy>
  <cp:revision>20</cp:revision>
  <cp:lastPrinted>2015-06-16T12:48:00Z</cp:lastPrinted>
  <dcterms:created xsi:type="dcterms:W3CDTF">2015-06-16T10:52:00Z</dcterms:created>
  <dcterms:modified xsi:type="dcterms:W3CDTF">2015-06-25T08:23:00Z</dcterms:modified>
</cp:coreProperties>
</file>