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5422C3" w:rsidRPr="005422C3" w:rsidRDefault="005422C3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</w:p>
    <w:p w:rsidR="003D172D" w:rsidRPr="00FD4B32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740A90">
        <w:rPr>
          <w:rFonts w:ascii="Verdana" w:hAnsi="Verdana"/>
          <w:b/>
          <w:bCs/>
          <w:sz w:val="28"/>
          <w:szCs w:val="28"/>
          <w:lang w:val="ru-RU"/>
        </w:rPr>
        <w:t>1</w:t>
      </w:r>
      <w:r w:rsidR="00BE0B1B">
        <w:rPr>
          <w:rFonts w:ascii="Verdana" w:hAnsi="Verdana"/>
          <w:b/>
          <w:bCs/>
          <w:sz w:val="28"/>
          <w:szCs w:val="28"/>
          <w:lang w:val="ru-RU"/>
        </w:rPr>
        <w:t>3</w:t>
      </w:r>
      <w:r w:rsidR="00A45F97">
        <w:rPr>
          <w:rFonts w:ascii="Verdana" w:hAnsi="Verdana"/>
          <w:b/>
          <w:bCs/>
          <w:sz w:val="28"/>
          <w:szCs w:val="28"/>
          <w:lang w:val="ru-RU"/>
        </w:rPr>
        <w:t>1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>
        <w:rPr>
          <w:rFonts w:ascii="Verdana" w:hAnsi="Verdana"/>
          <w:b/>
          <w:bCs/>
          <w:sz w:val="28"/>
          <w:szCs w:val="28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FD4B32" w:rsidRDefault="003D172D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Pr="00FD4B32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Default="003D172D" w:rsidP="00FE0A34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 w:rsidR="00E86DE1">
        <w:rPr>
          <w:rFonts w:ascii="Verdana" w:hAnsi="Verdana"/>
        </w:rPr>
        <w:t xml:space="preserve"> и БД</w:t>
      </w:r>
      <w:r>
        <w:rPr>
          <w:rFonts w:ascii="Verdana" w:hAnsi="Verdana"/>
        </w:rPr>
        <w:t xml:space="preserve">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3D172D" w:rsidRDefault="003D172D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CD19C3" w:rsidRDefault="003D172D" w:rsidP="00FE0A34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3D172D" w:rsidRPr="001469CC" w:rsidRDefault="003D172D" w:rsidP="00FE0A34">
      <w:pPr>
        <w:pStyle w:val="a7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3D172D" w:rsidRPr="00FD4B32" w:rsidRDefault="003D172D" w:rsidP="00FE0A34">
      <w:pPr>
        <w:pStyle w:val="a7"/>
        <w:rPr>
          <w:rFonts w:ascii="Verdana" w:hAnsi="Verdana"/>
          <w:b/>
          <w:lang w:val="ru-RU"/>
        </w:rPr>
      </w:pPr>
    </w:p>
    <w:p w:rsidR="003D172D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3A1A28" w:rsidRDefault="003D172D" w:rsidP="00416D8A">
      <w:pPr>
        <w:tabs>
          <w:tab w:val="left" w:pos="9214"/>
        </w:tabs>
        <w:ind w:right="283"/>
        <w:jc w:val="both"/>
        <w:rPr>
          <w:rFonts w:ascii="Verdana" w:hAnsi="Verdana"/>
          <w:b/>
        </w:rPr>
      </w:pP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 w:rsidR="00416D8A">
        <w:rPr>
          <w:rFonts w:ascii="Verdana" w:hAnsi="Verdana"/>
          <w:lang w:val="bg-BG"/>
        </w:rPr>
        <w:t xml:space="preserve"> „</w:t>
      </w:r>
      <w:r w:rsidR="00416D8A" w:rsidRPr="00525DEB">
        <w:rPr>
          <w:rFonts w:ascii="Verdana" w:hAnsi="Verdana"/>
          <w:b/>
          <w:lang w:val="ru-RU"/>
        </w:rPr>
        <w:t>Реконструкция и разширение на съществуваща ПСОВ</w:t>
      </w:r>
      <w:r w:rsidR="00416D8A">
        <w:rPr>
          <w:rFonts w:ascii="Verdana" w:hAnsi="Verdana"/>
          <w:b/>
          <w:lang w:val="ru-RU"/>
        </w:rPr>
        <w:t>»</w:t>
      </w:r>
      <w:r w:rsidRPr="0024253C">
        <w:rPr>
          <w:rFonts w:ascii="Verdana" w:hAnsi="Verdana"/>
          <w:b/>
          <w:lang w:val="bg-BG"/>
        </w:rPr>
        <w:t>,</w:t>
      </w:r>
      <w:r w:rsidR="00E86DE1">
        <w:rPr>
          <w:rFonts w:ascii="Verdana" w:hAnsi="Verdana"/>
          <w:b/>
          <w:lang w:val="bg-BG"/>
        </w:rPr>
        <w:t xml:space="preserve">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CF46F3" w:rsidRDefault="003D172D" w:rsidP="003C4FEA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  <w:r w:rsidRPr="00916E69">
        <w:rPr>
          <w:rFonts w:ascii="Verdana" w:hAnsi="Verdana"/>
          <w:b/>
        </w:rPr>
        <w:t>Местоположение:</w:t>
      </w:r>
      <w:r w:rsidR="00BD7D3F">
        <w:rPr>
          <w:rFonts w:ascii="Verdana" w:hAnsi="Verdana"/>
          <w:b/>
          <w:lang w:val="bg-BG"/>
        </w:rPr>
        <w:t xml:space="preserve"> </w:t>
      </w:r>
      <w:r w:rsidR="00416D8A">
        <w:rPr>
          <w:rFonts w:ascii="Verdana" w:hAnsi="Verdana"/>
          <w:lang w:val="ru-RU"/>
        </w:rPr>
        <w:t>в имот № 023188, землище на с. Милево, Община «Садово»</w:t>
      </w:r>
    </w:p>
    <w:p w:rsidR="00CF46F3" w:rsidRPr="00EE3FAC" w:rsidRDefault="00CF46F3" w:rsidP="003C4FEA">
      <w:pPr>
        <w:tabs>
          <w:tab w:val="left" w:pos="9450"/>
        </w:tabs>
        <w:jc w:val="both"/>
        <w:rPr>
          <w:rFonts w:ascii="Verdana" w:hAnsi="Verdana"/>
          <w:lang w:val="bg-BG"/>
        </w:rPr>
      </w:pPr>
    </w:p>
    <w:p w:rsidR="00416D8A" w:rsidRPr="00416D8A" w:rsidRDefault="003D172D" w:rsidP="00416D8A">
      <w:pPr>
        <w:pStyle w:val="af3"/>
        <w:ind w:right="240"/>
        <w:jc w:val="both"/>
        <w:rPr>
          <w:rFonts w:ascii="Verdana" w:hAnsi="Verdana"/>
          <w:b w:val="0"/>
          <w:sz w:val="20"/>
          <w:szCs w:val="20"/>
        </w:rPr>
      </w:pPr>
      <w:r w:rsidRPr="001469CC">
        <w:rPr>
          <w:rFonts w:ascii="Verdana" w:hAnsi="Verdana"/>
          <w:sz w:val="20"/>
          <w:szCs w:val="20"/>
        </w:rPr>
        <w:t xml:space="preserve">Възложител: </w:t>
      </w:r>
      <w:r w:rsidR="00416D8A" w:rsidRPr="00416D8A">
        <w:rPr>
          <w:rFonts w:ascii="Verdana" w:hAnsi="Verdana"/>
          <w:sz w:val="20"/>
          <w:szCs w:val="20"/>
        </w:rPr>
        <w:t>„Галус 2004“ ЕООД</w:t>
      </w:r>
      <w:r w:rsidR="00416D8A">
        <w:rPr>
          <w:rFonts w:ascii="Verdana" w:hAnsi="Verdana"/>
          <w:sz w:val="20"/>
          <w:szCs w:val="20"/>
        </w:rPr>
        <w:t xml:space="preserve">, </w:t>
      </w:r>
      <w:r w:rsidR="00A35104">
        <w:rPr>
          <w:rFonts w:ascii="Verdana" w:hAnsi="Verdana"/>
          <w:b w:val="0"/>
          <w:sz w:val="20"/>
          <w:szCs w:val="20"/>
        </w:rPr>
        <w:t xml:space="preserve"> </w:t>
      </w:r>
      <w:bookmarkStart w:id="0" w:name="_GoBack"/>
      <w:bookmarkEnd w:id="0"/>
    </w:p>
    <w:p w:rsidR="003C4FEA" w:rsidRPr="00416D8A" w:rsidRDefault="003C4FEA" w:rsidP="00CF46F3">
      <w:pPr>
        <w:pStyle w:val="af3"/>
        <w:ind w:right="240"/>
        <w:jc w:val="both"/>
        <w:rPr>
          <w:rFonts w:ascii="Verdana" w:hAnsi="Verdana"/>
          <w:b w:val="0"/>
          <w:sz w:val="20"/>
          <w:szCs w:val="20"/>
        </w:rPr>
      </w:pPr>
    </w:p>
    <w:p w:rsidR="003D172D" w:rsidRPr="00194BC2" w:rsidRDefault="003D172D" w:rsidP="003C4FEA">
      <w:pPr>
        <w:tabs>
          <w:tab w:val="left" w:pos="9450"/>
        </w:tabs>
        <w:jc w:val="both"/>
        <w:rPr>
          <w:rFonts w:ascii="Verdana" w:hAnsi="Verdana"/>
          <w:b/>
        </w:rPr>
      </w:pPr>
      <w:r w:rsidRPr="00194BC2">
        <w:rPr>
          <w:rFonts w:ascii="Verdana" w:hAnsi="Verdana"/>
          <w:b/>
        </w:rPr>
        <w:t>Характеристика на инвестиционното предложение:</w:t>
      </w:r>
    </w:p>
    <w:p w:rsidR="00416D8A" w:rsidRDefault="00416D8A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416D8A">
        <w:rPr>
          <w:rFonts w:ascii="Verdana" w:hAnsi="Verdana"/>
          <w:szCs w:val="20"/>
        </w:rPr>
        <w:t>В горепосоченият поземлен имот има изградена локална ПСОВ,</w:t>
      </w:r>
      <w:r>
        <w:rPr>
          <w:rFonts w:ascii="Verdana" w:hAnsi="Verdana"/>
          <w:szCs w:val="20"/>
        </w:rPr>
        <w:t xml:space="preserve"> </w:t>
      </w:r>
      <w:r w:rsidRPr="00416D8A">
        <w:rPr>
          <w:rFonts w:ascii="Verdana" w:hAnsi="Verdana"/>
          <w:szCs w:val="20"/>
        </w:rPr>
        <w:t xml:space="preserve">капацитета на която към настоящия момент технологично не е в състояние да покрие индивидуалните емисионни ограничение(ИЕО),определени с притежаваното от "Галус-2004"ЕООД,Разрешително за ползване на воден обект </w:t>
      </w:r>
      <w:r>
        <w:rPr>
          <w:rFonts w:ascii="Verdana" w:hAnsi="Verdana"/>
          <w:szCs w:val="20"/>
        </w:rPr>
        <w:t xml:space="preserve">и </w:t>
      </w:r>
      <w:r w:rsidRPr="00416D8A">
        <w:rPr>
          <w:rFonts w:ascii="Verdana" w:hAnsi="Verdana"/>
          <w:szCs w:val="20"/>
        </w:rPr>
        <w:t xml:space="preserve"> заустване на отпадъчни води във водни обекти с №0956/2006 год.,продължени с Решение №571/2009 год.,издадени от БД ИБР-Пловдив.В тази връзка, както и поради разширяване на производствените мощности към съществуващия термичен цех в птицекланицата, обстоятелствата налагат реконструкция и разширение на съществуваща локална ПСОВ към птицеклница-Милево.</w:t>
      </w:r>
    </w:p>
    <w:p w:rsidR="00416D8A" w:rsidRDefault="00416D8A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И</w:t>
      </w:r>
      <w:r w:rsidRPr="00416D8A">
        <w:rPr>
          <w:rFonts w:ascii="Verdana" w:hAnsi="Verdana"/>
          <w:szCs w:val="20"/>
        </w:rPr>
        <w:t xml:space="preserve">нвестиционно предложение </w:t>
      </w:r>
      <w:r w:rsidR="00714456">
        <w:rPr>
          <w:rFonts w:ascii="Verdana" w:hAnsi="Verdana"/>
          <w:szCs w:val="20"/>
        </w:rPr>
        <w:t>се явява</w:t>
      </w:r>
      <w:r w:rsidRPr="00416D8A">
        <w:rPr>
          <w:rFonts w:ascii="Verdana" w:hAnsi="Verdana"/>
          <w:szCs w:val="20"/>
        </w:rPr>
        <w:t xml:space="preserve"> разширение на дейност, попадаща в приложение </w:t>
      </w:r>
      <w:r>
        <w:rPr>
          <w:rFonts w:ascii="Verdana" w:hAnsi="Verdana"/>
          <w:szCs w:val="20"/>
        </w:rPr>
        <w:t>2</w:t>
      </w:r>
      <w:r w:rsidRPr="00416D8A">
        <w:rPr>
          <w:rFonts w:ascii="Verdana" w:hAnsi="Verdana"/>
          <w:szCs w:val="20"/>
        </w:rPr>
        <w:t xml:space="preserve"> от Закона за опазване на околната среда /ЗООС/ и  на основание чл. 93, ал.1, т. </w:t>
      </w:r>
      <w:r>
        <w:rPr>
          <w:rFonts w:ascii="Verdana" w:hAnsi="Verdana"/>
          <w:szCs w:val="20"/>
        </w:rPr>
        <w:t>2</w:t>
      </w:r>
      <w:r w:rsidRPr="00416D8A">
        <w:rPr>
          <w:rFonts w:ascii="Verdana" w:hAnsi="Verdana"/>
          <w:szCs w:val="20"/>
        </w:rPr>
        <w:t xml:space="preserve"> от ЗООС от същия закон подлежи на преценяване на необходимостта от извършване на ОВОС</w:t>
      </w:r>
      <w:r>
        <w:rPr>
          <w:rFonts w:ascii="Verdana" w:hAnsi="Verdana"/>
          <w:szCs w:val="20"/>
        </w:rPr>
        <w:t>.</w:t>
      </w:r>
    </w:p>
    <w:p w:rsidR="003D172D" w:rsidRPr="00027F8D" w:rsidRDefault="003D172D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>Инвестиционното предложени</w:t>
      </w:r>
      <w:r>
        <w:rPr>
          <w:rFonts w:ascii="Verdana" w:hAnsi="Verdana"/>
          <w:szCs w:val="20"/>
        </w:rPr>
        <w:t xml:space="preserve">е /ИП/ попада в обхвата на </w:t>
      </w:r>
      <w:r w:rsidRPr="00027F8D">
        <w:rPr>
          <w:rFonts w:ascii="Verdana" w:hAnsi="Verdana"/>
          <w:szCs w:val="20"/>
        </w:rPr>
        <w:t>чл.2</w:t>
      </w:r>
      <w:r>
        <w:rPr>
          <w:rFonts w:ascii="Verdana" w:hAnsi="Verdana"/>
          <w:szCs w:val="20"/>
        </w:rPr>
        <w:t>,</w:t>
      </w:r>
      <w:r w:rsidRPr="00027F8D">
        <w:rPr>
          <w:rFonts w:ascii="Verdana" w:hAnsi="Verdana"/>
          <w:szCs w:val="20"/>
        </w:rPr>
        <w:t xml:space="preserve"> ал.1, т. 1 от Наредбата за ОС. </w:t>
      </w:r>
    </w:p>
    <w:p w:rsidR="003D172D" w:rsidRDefault="003D172D" w:rsidP="008F6D00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Имот</w:t>
      </w:r>
      <w:r w:rsidR="00D208D4">
        <w:rPr>
          <w:rFonts w:ascii="Verdana" w:hAnsi="Verdana"/>
          <w:lang w:val="bg-BG"/>
        </w:rPr>
        <w:t>ите</w:t>
      </w:r>
      <w:r>
        <w:rPr>
          <w:rFonts w:ascii="Verdana" w:hAnsi="Verdana"/>
          <w:lang w:val="bg-BG"/>
        </w:rPr>
        <w:t>,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в ко</w:t>
      </w:r>
      <w:r w:rsidR="00D208D4">
        <w:rPr>
          <w:rFonts w:ascii="Verdana" w:hAnsi="Verdana"/>
          <w:lang w:val="bg-BG"/>
        </w:rPr>
        <w:t>и</w:t>
      </w:r>
      <w:r>
        <w:rPr>
          <w:rFonts w:ascii="Verdana" w:hAnsi="Verdana"/>
          <w:lang w:val="bg-BG"/>
        </w:rPr>
        <w:t xml:space="preserve">то ще се развива инвестиционното предложение </w:t>
      </w:r>
      <w:r w:rsidRPr="00550249">
        <w:rPr>
          <w:rFonts w:ascii="Verdana" w:hAnsi="Verdana"/>
          <w:b/>
          <w:lang w:val="ru-RU"/>
        </w:rPr>
        <w:t xml:space="preserve">не </w:t>
      </w:r>
      <w:r w:rsidRPr="00550249">
        <w:rPr>
          <w:rFonts w:ascii="Verdana" w:hAnsi="Verdana"/>
          <w:b/>
          <w:lang w:val="bg-BG"/>
        </w:rPr>
        <w:t>попада</w:t>
      </w:r>
      <w:r w:rsidR="00D208D4">
        <w:rPr>
          <w:rFonts w:ascii="Verdana" w:hAnsi="Verdana"/>
          <w:b/>
          <w:lang w:val="bg-BG"/>
        </w:rPr>
        <w:t>т</w:t>
      </w:r>
      <w:r w:rsidRPr="00550249">
        <w:rPr>
          <w:rFonts w:ascii="Verdana" w:hAnsi="Verdana"/>
          <w:lang w:val="ru-RU"/>
        </w:rPr>
        <w:t xml:space="preserve"> в границите на защитени зони от мрежата „Натура 2000”</w:t>
      </w:r>
      <w:r>
        <w:rPr>
          <w:rFonts w:ascii="Verdana" w:hAnsi="Verdana"/>
          <w:lang w:val="ru-RU"/>
        </w:rPr>
        <w:t xml:space="preserve"> и в защитени територии, съгласно Закона за защитените територии. </w:t>
      </w:r>
      <w:r w:rsidRPr="00550249">
        <w:rPr>
          <w:rFonts w:ascii="Verdana" w:hAnsi="Verdana"/>
          <w:lang w:val="ru-RU"/>
        </w:rPr>
        <w:t>Най-близката защитена зона е</w:t>
      </w:r>
      <w:r>
        <w:rPr>
          <w:rFonts w:ascii="Verdana" w:hAnsi="Verdana"/>
          <w:lang w:val="ru-RU"/>
        </w:rPr>
        <w:t xml:space="preserve"> BG</w:t>
      </w:r>
      <w:r w:rsidRPr="00B228E7">
        <w:rPr>
          <w:rFonts w:ascii="Verdana" w:hAnsi="Verdana"/>
          <w:lang w:val="ru-RU"/>
        </w:rPr>
        <w:t>000</w:t>
      </w:r>
      <w:r w:rsidR="00797DDB">
        <w:rPr>
          <w:rFonts w:ascii="Verdana" w:hAnsi="Verdana"/>
          <w:lang w:val="bg-BG"/>
        </w:rPr>
        <w:t>0</w:t>
      </w:r>
      <w:r w:rsidR="00714456">
        <w:rPr>
          <w:rFonts w:ascii="Verdana" w:hAnsi="Verdana"/>
          <w:lang w:val="bg-BG"/>
        </w:rPr>
        <w:t>578</w:t>
      </w:r>
      <w:r w:rsidRPr="00B228E7">
        <w:rPr>
          <w:rFonts w:ascii="Verdana" w:hAnsi="Verdana"/>
          <w:lang w:val="ru-RU"/>
        </w:rPr>
        <w:t xml:space="preserve"> „</w:t>
      </w:r>
      <w:r w:rsidR="00797DDB">
        <w:rPr>
          <w:rFonts w:ascii="Verdana" w:hAnsi="Verdana"/>
          <w:lang w:val="ru-RU"/>
        </w:rPr>
        <w:t xml:space="preserve">Река </w:t>
      </w:r>
      <w:r w:rsidR="00714456">
        <w:rPr>
          <w:rFonts w:ascii="Verdana" w:hAnsi="Verdana"/>
          <w:lang w:val="ru-RU"/>
        </w:rPr>
        <w:t>Марица</w:t>
      </w:r>
      <w:r w:rsidRPr="00B228E7">
        <w:rPr>
          <w:rFonts w:ascii="Verdana" w:hAnsi="Verdana"/>
          <w:lang w:val="ru-RU"/>
        </w:rPr>
        <w:t>”</w:t>
      </w:r>
      <w:r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bg-BG"/>
        </w:rPr>
        <w:t xml:space="preserve">за опазване на </w:t>
      </w:r>
      <w:r>
        <w:rPr>
          <w:rFonts w:ascii="Verdana" w:hAnsi="Verdana"/>
          <w:lang w:val="bg-BG"/>
        </w:rPr>
        <w:t>природните местообитания и на дивата флора и фауна, приета от МС с Решение № 122/02</w:t>
      </w:r>
      <w:r w:rsidRPr="00550249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03</w:t>
      </w:r>
      <w:r w:rsidRPr="00550249">
        <w:rPr>
          <w:rFonts w:ascii="Verdana" w:hAnsi="Verdana"/>
          <w:lang w:val="bg-BG"/>
        </w:rPr>
        <w:t>.200</w:t>
      </w:r>
      <w:r>
        <w:rPr>
          <w:rFonts w:ascii="Verdana" w:hAnsi="Verdana"/>
          <w:lang w:val="bg-BG"/>
        </w:rPr>
        <w:t>7</w:t>
      </w:r>
      <w:r w:rsidRPr="00550249">
        <w:rPr>
          <w:rFonts w:ascii="Verdana" w:hAnsi="Verdana"/>
          <w:lang w:val="bg-BG"/>
        </w:rPr>
        <w:t>г.</w:t>
      </w:r>
      <w:r w:rsidR="007316B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(ДВ бр.21/2007г</w:t>
      </w:r>
      <w:r w:rsidR="00D208D4">
        <w:rPr>
          <w:rFonts w:ascii="Verdana" w:hAnsi="Verdana"/>
          <w:lang w:val="bg-BG"/>
        </w:rPr>
        <w:t>.</w:t>
      </w:r>
    </w:p>
    <w:p w:rsidR="00D208D4" w:rsidRPr="00D208D4" w:rsidRDefault="00D208D4" w:rsidP="00D208D4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D208D4">
        <w:rPr>
          <w:rFonts w:ascii="Verdana" w:hAnsi="Verdana"/>
          <w:lang w:val="ru-RU"/>
        </w:rPr>
        <w:t>Инвестиционното предложение подлежи на оценка за съвместимостта му с предмета и целите на опазване на защитените зони по реда на чл. 31 ал.4 във връзка с ал.1 от Закона за биологичното разнообразие.</w:t>
      </w:r>
    </w:p>
    <w:p w:rsidR="00D208D4" w:rsidRPr="00D208D4" w:rsidRDefault="00D208D4" w:rsidP="00D208D4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D208D4">
        <w:rPr>
          <w:rFonts w:ascii="Verdana" w:hAnsi="Verdana"/>
          <w:lang w:val="ru-RU"/>
        </w:rPr>
        <w:lastRenderedPageBreak/>
        <w:t xml:space="preserve"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защитената зона. </w:t>
      </w:r>
    </w:p>
    <w:p w:rsidR="003D172D" w:rsidRDefault="003D172D" w:rsidP="00FE0A34">
      <w:pPr>
        <w:pStyle w:val="a7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             </w:t>
      </w:r>
      <w:r w:rsidRPr="007A3CF5">
        <w:rPr>
          <w:rFonts w:ascii="Verdana" w:hAnsi="Verdana"/>
          <w:caps/>
        </w:rPr>
        <w:t xml:space="preserve">  </w:t>
      </w:r>
    </w:p>
    <w:p w:rsidR="00714456" w:rsidRDefault="00714456" w:rsidP="00614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3D172D" w:rsidRPr="007A3CF5" w:rsidRDefault="003D172D" w:rsidP="00FE0A34">
      <w:pPr>
        <w:pStyle w:val="a7"/>
        <w:rPr>
          <w:rFonts w:ascii="Verdana" w:hAnsi="Verdana"/>
          <w:b/>
          <w:caps/>
        </w:rPr>
      </w:pPr>
    </w:p>
    <w:p w:rsidR="003D172D" w:rsidRPr="00E374AC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ab/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Характеристика на предлаганото строителство, дейности, технологии: обем, производителност, 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, взаимовръзка  и кумулиране с други предложения, ползване на природни ресурси, генерирани отпадъци, </w:t>
      </w:r>
      <w:r w:rsidRPr="00E374AC">
        <w:rPr>
          <w:rFonts w:ascii="Verdana" w:hAnsi="Verdana"/>
          <w:b/>
          <w:sz w:val="20"/>
          <w:szCs w:val="20"/>
          <w:lang w:val="ru-RU"/>
        </w:rPr>
        <w:t>замърсяване и дискомфорт на околната среда, както и риск от инциденти</w:t>
      </w:r>
      <w:r w:rsidRPr="00E374AC">
        <w:rPr>
          <w:rFonts w:ascii="Verdana" w:hAnsi="Verdana"/>
          <w:b/>
          <w:sz w:val="20"/>
          <w:szCs w:val="20"/>
          <w:lang w:val="bg-BG"/>
        </w:rPr>
        <w:t>.</w:t>
      </w:r>
    </w:p>
    <w:p w:rsidR="00714456" w:rsidRDefault="00714456" w:rsidP="00714456">
      <w:pPr>
        <w:jc w:val="both"/>
        <w:rPr>
          <w:color w:val="000000"/>
          <w:lang w:val="ru-RU"/>
        </w:rPr>
      </w:pPr>
      <w:r w:rsidRPr="00714456">
        <w:rPr>
          <w:rFonts w:ascii="Verdana" w:hAnsi="Verdana"/>
          <w:color w:val="000000"/>
          <w:lang w:val="ru-RU"/>
        </w:rPr>
        <w:t xml:space="preserve">Строителните работи включат изграждане на стоманобетоново биологично стъпало с размери </w:t>
      </w:r>
      <w:r w:rsidRPr="00714456">
        <w:rPr>
          <w:rFonts w:ascii="Verdana" w:hAnsi="Verdana" w:cs="Times Roman"/>
          <w:color w:val="000000"/>
          <w:lang w:val="ru-RU"/>
        </w:rPr>
        <w:t xml:space="preserve">(светло) </w:t>
      </w:r>
      <w:r w:rsidRPr="00714456">
        <w:rPr>
          <w:rFonts w:ascii="Verdana" w:hAnsi="Verdana"/>
          <w:color w:val="000000"/>
          <w:lang w:val="ru-RU"/>
        </w:rPr>
        <w:t xml:space="preserve">диаметър </w:t>
      </w:r>
      <w:r w:rsidRPr="00714456">
        <w:rPr>
          <w:rFonts w:ascii="Verdana" w:hAnsi="Verdana" w:cs="Times Bold"/>
          <w:color w:val="000000"/>
        </w:rPr>
        <w:t>D</w:t>
      </w:r>
      <w:r w:rsidRPr="00714456">
        <w:rPr>
          <w:rFonts w:ascii="Verdana" w:hAnsi="Verdana" w:cs="Times Bold"/>
          <w:color w:val="000000"/>
          <w:lang w:val="ru-RU"/>
        </w:rPr>
        <w:t xml:space="preserve">=13 </w:t>
      </w:r>
      <w:r w:rsidRPr="00714456">
        <w:rPr>
          <w:rFonts w:ascii="Verdana" w:hAnsi="Verdana" w:cs="Times New Roman Bold"/>
          <w:color w:val="000000"/>
          <w:lang w:val="ru-RU"/>
        </w:rPr>
        <w:t xml:space="preserve">м. </w:t>
      </w:r>
      <w:r w:rsidRPr="00714456">
        <w:rPr>
          <w:rFonts w:ascii="Verdana" w:hAnsi="Verdana" w:cs="Times Bold"/>
          <w:color w:val="000000"/>
        </w:rPr>
        <w:t>H</w:t>
      </w:r>
      <w:r w:rsidRPr="00714456">
        <w:rPr>
          <w:rFonts w:ascii="Verdana" w:hAnsi="Verdana" w:cs="Times Bold"/>
          <w:color w:val="000000"/>
          <w:lang w:val="ru-RU"/>
        </w:rPr>
        <w:t xml:space="preserve">= 4 </w:t>
      </w:r>
      <w:r w:rsidRPr="00714456">
        <w:rPr>
          <w:rFonts w:ascii="Verdana" w:hAnsi="Verdana" w:cs="Times New Roman Bold"/>
          <w:color w:val="000000"/>
          <w:lang w:val="ru-RU"/>
        </w:rPr>
        <w:t xml:space="preserve">м. </w:t>
      </w:r>
      <w:r w:rsidRPr="00714456">
        <w:rPr>
          <w:rFonts w:ascii="Verdana" w:hAnsi="Verdana"/>
          <w:color w:val="000000"/>
          <w:lang w:val="ru-RU"/>
        </w:rPr>
        <w:t xml:space="preserve">и вграден в него радиален утаител с размери диаметър </w:t>
      </w:r>
      <w:r w:rsidRPr="00714456">
        <w:rPr>
          <w:rFonts w:ascii="Verdana" w:hAnsi="Verdana" w:cs="Times Bold"/>
          <w:color w:val="000000"/>
        </w:rPr>
        <w:t>D</w:t>
      </w:r>
      <w:r w:rsidRPr="00714456">
        <w:rPr>
          <w:rFonts w:ascii="Verdana" w:hAnsi="Verdana" w:cs="Times Bold"/>
          <w:color w:val="000000"/>
          <w:lang w:val="ru-RU"/>
        </w:rPr>
        <w:t xml:space="preserve">=5 </w:t>
      </w:r>
      <w:r w:rsidRPr="00714456">
        <w:rPr>
          <w:rFonts w:ascii="Verdana" w:hAnsi="Verdana" w:cs="Times New Roman Bold"/>
          <w:color w:val="000000"/>
          <w:lang w:val="ru-RU"/>
        </w:rPr>
        <w:t xml:space="preserve">м. </w:t>
      </w:r>
      <w:r w:rsidRPr="00714456">
        <w:rPr>
          <w:rFonts w:ascii="Verdana" w:hAnsi="Verdana" w:cs="Times Bold"/>
          <w:color w:val="000000"/>
        </w:rPr>
        <w:t>H</w:t>
      </w:r>
      <w:r w:rsidRPr="00714456">
        <w:rPr>
          <w:rFonts w:ascii="Verdana" w:hAnsi="Verdana" w:cs="Times Bold"/>
          <w:color w:val="000000"/>
          <w:lang w:val="ru-RU"/>
        </w:rPr>
        <w:t xml:space="preserve">= 4 </w:t>
      </w:r>
      <w:r w:rsidRPr="00714456">
        <w:rPr>
          <w:rFonts w:ascii="Verdana" w:hAnsi="Verdana" w:cs="Times New Roman Bold"/>
          <w:color w:val="000000"/>
          <w:lang w:val="ru-RU"/>
        </w:rPr>
        <w:t xml:space="preserve">м. </w:t>
      </w:r>
      <w:r w:rsidRPr="00714456">
        <w:rPr>
          <w:rFonts w:ascii="Verdana" w:hAnsi="Verdana"/>
          <w:color w:val="000000"/>
          <w:lang w:val="ru-RU"/>
        </w:rPr>
        <w:t>Биостъпалото ще бъде изградено между съществуващата ПСОВ и цеха за сушене на перушина.</w:t>
      </w:r>
      <w:r w:rsidRPr="00197D71">
        <w:rPr>
          <w:color w:val="000000"/>
          <w:lang w:val="ru-RU"/>
        </w:rPr>
        <w:t xml:space="preserve"> </w:t>
      </w:r>
    </w:p>
    <w:p w:rsidR="00714456" w:rsidRPr="00714456" w:rsidRDefault="00714456" w:rsidP="00714456">
      <w:pPr>
        <w:jc w:val="both"/>
        <w:rPr>
          <w:rFonts w:ascii="Verdana" w:hAnsi="Verdana"/>
          <w:lang w:val="bg-BG"/>
        </w:rPr>
      </w:pPr>
      <w:r w:rsidRPr="00714456">
        <w:rPr>
          <w:rFonts w:ascii="Verdana" w:hAnsi="Verdana"/>
          <w:lang w:val="bg-BG"/>
        </w:rPr>
        <w:t>Отпадъчните води посредством довеждащата канализация попадат в съществуваща приемна камера. Там ще бъде монтирана нова автоматична механична решетка за прецеждане на водите</w:t>
      </w:r>
    </w:p>
    <w:p w:rsidR="00714456" w:rsidRPr="00714456" w:rsidRDefault="00714456" w:rsidP="00714456">
      <w:pPr>
        <w:jc w:val="both"/>
        <w:rPr>
          <w:rFonts w:ascii="Verdana" w:hAnsi="Verdana"/>
          <w:lang w:val="bg-BG"/>
        </w:rPr>
      </w:pPr>
      <w:r w:rsidRPr="00714456">
        <w:rPr>
          <w:rFonts w:ascii="Verdana" w:hAnsi="Verdana"/>
          <w:lang w:val="bg-BG"/>
        </w:rPr>
        <w:t>От там посредством нови трансферни потопяеми помпи тя ще бъде изпомпвана в съществуващият усреднител. Усреднената вода от усреднителя посредством потопени помпи се подава към физико-химичното стъпало на пречистване. Там тя първо преминава през фина механична барабанна  решетка (барабанно сито) с отвори 0,75 мм, след което навлиза в смесител, където се дозира коагулант, натриева основа (при нужда) и флокулант. От смесителя водата гравитачно навлиза във Флотатора. Там се извършва физико-химичното пречистване на отпадъчната вода и след това водата гравитачно навлиза във биостъпалото. Утайката (флотата) от офотатора се подава към силоза за утайки посредством помпи за флотат, намиращи се в новоизградена камера за флотат.</w:t>
      </w:r>
    </w:p>
    <w:p w:rsidR="00714456" w:rsidRDefault="00714456" w:rsidP="00714456">
      <w:pPr>
        <w:jc w:val="both"/>
        <w:rPr>
          <w:rFonts w:ascii="Verdana" w:hAnsi="Verdana"/>
          <w:lang w:val="bg-BG"/>
        </w:rPr>
      </w:pPr>
      <w:r w:rsidRPr="00714456">
        <w:rPr>
          <w:rFonts w:ascii="Verdana" w:hAnsi="Verdana"/>
          <w:lang w:val="bg-BG"/>
        </w:rPr>
        <w:t>Биостъпалото е с кръгова форма с вграден радиален утаител (кръг в кръг). Биостъпалото ще бъде изпълнено между съществуващата ПСОВ и сградата за сушене на перушина. С помощта на полупотопен преливник в края на коридора на биореактора водата постъпва в центъра на вграденият радиален утаител. Там се извършва процеса на утаяване и пречистената вода прелива през преливниковата система за заустване като предварително се дезинфекцира с NaOCl.</w:t>
      </w:r>
      <w:r>
        <w:rPr>
          <w:rFonts w:ascii="Verdana" w:hAnsi="Verdana"/>
          <w:lang w:val="bg-BG"/>
        </w:rPr>
        <w:t xml:space="preserve"> </w:t>
      </w:r>
      <w:r w:rsidRPr="00714456">
        <w:rPr>
          <w:rFonts w:ascii="Verdana" w:hAnsi="Verdana"/>
          <w:lang w:val="bg-BG"/>
        </w:rPr>
        <w:t>Точката на заустване се запазва същата</w:t>
      </w:r>
      <w:r>
        <w:rPr>
          <w:rFonts w:ascii="Verdana" w:hAnsi="Verdana"/>
          <w:lang w:val="bg-BG"/>
        </w:rPr>
        <w:t>.</w:t>
      </w:r>
    </w:p>
    <w:p w:rsidR="005422C3" w:rsidRPr="005422C3" w:rsidRDefault="005422C3" w:rsidP="005422C3">
      <w:pPr>
        <w:jc w:val="both"/>
        <w:rPr>
          <w:rFonts w:ascii="Verdana" w:hAnsi="Verdana"/>
          <w:lang w:val="ru-RU"/>
        </w:rPr>
      </w:pPr>
      <w:r w:rsidRPr="005422C3">
        <w:rPr>
          <w:rFonts w:ascii="Verdana" w:hAnsi="Verdana"/>
          <w:lang w:val="ru-RU"/>
        </w:rPr>
        <w:t>Утайката</w:t>
      </w:r>
      <w:r>
        <w:rPr>
          <w:rFonts w:ascii="Verdana" w:hAnsi="Verdana"/>
          <w:lang w:val="ru-RU"/>
        </w:rPr>
        <w:t xml:space="preserve">, </w:t>
      </w:r>
      <w:r w:rsidRPr="005422C3">
        <w:rPr>
          <w:rFonts w:ascii="Verdana" w:hAnsi="Verdana"/>
          <w:lang w:val="ru-RU"/>
        </w:rPr>
        <w:t>ще се припомпва с потопяема помпа в силоз и от там се извозва с помощта на цистерна до най-близката регионална пречиствателна станция за по нататъшна обработка ( Обезводняване ).</w:t>
      </w:r>
    </w:p>
    <w:p w:rsidR="005422C3" w:rsidRPr="00714456" w:rsidRDefault="005422C3" w:rsidP="00714456">
      <w:pPr>
        <w:jc w:val="both"/>
        <w:rPr>
          <w:rFonts w:ascii="Verdana" w:hAnsi="Verdana"/>
          <w:lang w:val="bg-BG"/>
        </w:rPr>
      </w:pPr>
    </w:p>
    <w:p w:rsidR="00BD7D3F" w:rsidRPr="00BD7D3F" w:rsidRDefault="00BD7D3F" w:rsidP="00BD7D3F">
      <w:pPr>
        <w:jc w:val="both"/>
        <w:rPr>
          <w:rFonts w:ascii="Verdana" w:hAnsi="Verdana"/>
        </w:rPr>
      </w:pPr>
      <w:r w:rsidRPr="00BD7D3F">
        <w:rPr>
          <w:rFonts w:ascii="Verdana" w:hAnsi="Verdana"/>
          <w:sz w:val="16"/>
          <w:szCs w:val="16"/>
          <w:lang w:val="bg-BG"/>
        </w:rPr>
        <w:t>●</w:t>
      </w:r>
      <w:r>
        <w:rPr>
          <w:rFonts w:ascii="Verdana" w:hAnsi="Verdana"/>
          <w:lang w:val="bg-BG"/>
        </w:rPr>
        <w:tab/>
      </w:r>
      <w:r w:rsidR="003D172D" w:rsidRPr="00716048">
        <w:rPr>
          <w:rFonts w:ascii="Verdana" w:hAnsi="Verdana"/>
          <w:lang w:val="bg-BG"/>
        </w:rPr>
        <w:t>Не се налага промяна на съществуващата или изгражда</w:t>
      </w:r>
      <w:r w:rsidR="003D172D">
        <w:rPr>
          <w:rFonts w:ascii="Verdana" w:hAnsi="Verdana"/>
          <w:lang w:val="bg-BG"/>
        </w:rPr>
        <w:t>не на нова пътна инфраструктура.</w:t>
      </w:r>
      <w:r w:rsidRPr="00BD7D3F">
        <w:rPr>
          <w:rFonts w:ascii="Verdana" w:hAnsi="Verdana"/>
        </w:rPr>
        <w:t xml:space="preserve"> </w:t>
      </w:r>
    </w:p>
    <w:p w:rsidR="00BD7D3F" w:rsidRDefault="00BD7D3F" w:rsidP="00BD7D3F">
      <w:pPr>
        <w:jc w:val="both"/>
        <w:rPr>
          <w:rFonts w:ascii="Verdana" w:hAnsi="Verdana"/>
        </w:rPr>
      </w:pPr>
      <w:r w:rsidRPr="00BD7D3F">
        <w:rPr>
          <w:rFonts w:ascii="Verdana" w:hAnsi="Verdana"/>
          <w:sz w:val="16"/>
          <w:szCs w:val="16"/>
          <w:lang w:val="bg-BG"/>
        </w:rPr>
        <w:t>●</w:t>
      </w:r>
      <w:r w:rsidRPr="00BD7D3F">
        <w:rPr>
          <w:rFonts w:ascii="Verdana" w:hAnsi="Verdana"/>
        </w:rPr>
        <w:tab/>
      </w:r>
      <w:r w:rsidRPr="00716048">
        <w:rPr>
          <w:rFonts w:ascii="Verdana" w:hAnsi="Verdana"/>
        </w:rPr>
        <w:t xml:space="preserve">В хода на експлоатация на обекта не се предполага значително замърсяване и дискомфорт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BD7D3F" w:rsidRPr="00776615" w:rsidRDefault="00BD7D3F" w:rsidP="00BD7D3F">
      <w:pPr>
        <w:spacing w:line="240" w:lineRule="exact"/>
        <w:jc w:val="both"/>
        <w:rPr>
          <w:rFonts w:ascii="Verdana" w:hAnsi="Verdana"/>
          <w:lang w:val="ru-RU"/>
        </w:rPr>
      </w:pPr>
    </w:p>
    <w:p w:rsidR="003D172D" w:rsidRDefault="003D172D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>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3D172D" w:rsidRPr="00EA71DF" w:rsidRDefault="003D172D" w:rsidP="00155420">
      <w:pPr>
        <w:jc w:val="both"/>
        <w:rPr>
          <w:rFonts w:ascii="Verdana" w:hAnsi="Verdana"/>
          <w:lang w:val="bg-BG"/>
        </w:rPr>
      </w:pPr>
      <w:r w:rsidRPr="00EA71DF">
        <w:rPr>
          <w:rFonts w:ascii="Verdana" w:hAnsi="Verdana"/>
        </w:rPr>
        <w:t xml:space="preserve">Дейностите по време на изпълнението на </w:t>
      </w:r>
      <w:r w:rsidR="00714456">
        <w:rPr>
          <w:rFonts w:ascii="Verdana" w:hAnsi="Verdana"/>
          <w:lang w:val="bg-BG"/>
        </w:rPr>
        <w:t>строителните работи</w:t>
      </w:r>
      <w:r w:rsidRPr="00EA71DF">
        <w:rPr>
          <w:rFonts w:ascii="Verdana" w:hAnsi="Verdana"/>
        </w:rPr>
        <w:t xml:space="preserve"> ще се осъществяват само в</w:t>
      </w:r>
      <w:r>
        <w:rPr>
          <w:rFonts w:ascii="Verdana" w:hAnsi="Verdana"/>
          <w:lang w:val="bg-BG"/>
        </w:rPr>
        <w:t xml:space="preserve"> </w:t>
      </w:r>
      <w:r w:rsidR="00920F58">
        <w:rPr>
          <w:rFonts w:ascii="Verdana" w:hAnsi="Verdana"/>
          <w:lang w:val="bg-BG"/>
        </w:rPr>
        <w:t>имот</w:t>
      </w:r>
      <w:r w:rsidR="00714456">
        <w:rPr>
          <w:rFonts w:ascii="Verdana" w:hAnsi="Verdana"/>
          <w:lang w:val="bg-BG"/>
        </w:rPr>
        <w:t>а</w:t>
      </w:r>
      <w:r w:rsidR="00D208D4">
        <w:rPr>
          <w:rFonts w:ascii="Verdana" w:hAnsi="Verdana"/>
          <w:lang w:val="bg-BG"/>
        </w:rPr>
        <w:t xml:space="preserve">, описан по-горе </w:t>
      </w:r>
      <w:r>
        <w:rPr>
          <w:rFonts w:ascii="Verdana" w:hAnsi="Verdana"/>
          <w:lang w:val="bg-BG"/>
        </w:rPr>
        <w:t xml:space="preserve"> </w:t>
      </w:r>
      <w:r w:rsidRPr="00EA71DF">
        <w:rPr>
          <w:rFonts w:ascii="Verdana" w:hAnsi="Verdana"/>
        </w:rPr>
        <w:t>и няма да засегнат съседни имоти.</w:t>
      </w:r>
      <w:r>
        <w:rPr>
          <w:rFonts w:ascii="Verdana" w:hAnsi="Verdana"/>
          <w:lang w:val="bg-BG"/>
        </w:rPr>
        <w:t xml:space="preserve">  </w:t>
      </w:r>
      <w:r w:rsidRPr="00EA71DF">
        <w:rPr>
          <w:rFonts w:ascii="Verdana" w:hAnsi="Verdana"/>
          <w:lang w:val="bg-BG"/>
        </w:rPr>
        <w:t xml:space="preserve"> </w:t>
      </w:r>
    </w:p>
    <w:p w:rsidR="00D208D4" w:rsidRPr="00D208D4" w:rsidRDefault="005422C3" w:rsidP="00D208D4">
      <w:pPr>
        <w:pStyle w:val="31"/>
        <w:numPr>
          <w:ilvl w:val="0"/>
          <w:numId w:val="11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5422C3">
        <w:rPr>
          <w:rFonts w:ascii="Verdana" w:hAnsi="Verdana"/>
          <w:sz w:val="20"/>
          <w:szCs w:val="20"/>
          <w:lang w:val="bg-BG"/>
        </w:rPr>
        <w:t>Имотът се намира извън урбанизиран</w:t>
      </w:r>
      <w:r>
        <w:rPr>
          <w:rFonts w:ascii="Verdana" w:hAnsi="Verdana"/>
          <w:sz w:val="20"/>
          <w:szCs w:val="20"/>
          <w:lang w:val="bg-BG"/>
        </w:rPr>
        <w:t>ата</w:t>
      </w:r>
      <w:r w:rsidRPr="005422C3">
        <w:rPr>
          <w:rFonts w:ascii="Verdana" w:hAnsi="Verdana"/>
          <w:sz w:val="20"/>
          <w:szCs w:val="20"/>
          <w:lang w:val="bg-BG"/>
        </w:rPr>
        <w:t xml:space="preserve"> територи</w:t>
      </w:r>
      <w:r>
        <w:rPr>
          <w:rFonts w:ascii="Verdana" w:hAnsi="Verdana"/>
          <w:sz w:val="20"/>
          <w:szCs w:val="20"/>
          <w:lang w:val="bg-BG"/>
        </w:rPr>
        <w:t>я</w:t>
      </w:r>
      <w:r w:rsidRPr="005422C3">
        <w:rPr>
          <w:rFonts w:ascii="Verdana" w:hAnsi="Verdana"/>
          <w:sz w:val="20"/>
          <w:szCs w:val="20"/>
          <w:lang w:val="bg-BG"/>
        </w:rPr>
        <w:t xml:space="preserve"> на с.Милево и до него води съществуващ полски път (ПИ № 0231)</w:t>
      </w:r>
      <w:r>
        <w:rPr>
          <w:rFonts w:ascii="Verdana" w:hAnsi="Verdana"/>
          <w:sz w:val="20"/>
          <w:szCs w:val="20"/>
          <w:lang w:val="bg-BG"/>
        </w:rPr>
        <w:t>.</w:t>
      </w:r>
      <w:r w:rsidR="00D208D4" w:rsidRPr="00D208D4">
        <w:rPr>
          <w:rFonts w:ascii="Verdana" w:hAnsi="Verdana"/>
          <w:sz w:val="20"/>
          <w:szCs w:val="20"/>
          <w:lang w:val="bg-BG"/>
        </w:rPr>
        <w:t xml:space="preserve">Съществуващият ландшафт няма да бъде променен. </w:t>
      </w:r>
    </w:p>
    <w:p w:rsidR="003D172D" w:rsidRPr="00E13209" w:rsidRDefault="003D172D" w:rsidP="00D208D4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880DF9">
        <w:rPr>
          <w:rFonts w:ascii="Verdana" w:hAnsi="Verdana"/>
          <w:sz w:val="20"/>
          <w:szCs w:val="20"/>
          <w:lang w:val="bg-BG"/>
        </w:rPr>
        <w:lastRenderedPageBreak/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</w:p>
    <w:p w:rsidR="003D172D" w:rsidRPr="00716048" w:rsidRDefault="003D172D" w:rsidP="00413689">
      <w:pPr>
        <w:pStyle w:val="a7"/>
        <w:rPr>
          <w:rFonts w:ascii="Verdana" w:hAnsi="Verdana"/>
        </w:rPr>
      </w:pPr>
    </w:p>
    <w:p w:rsidR="003D172D" w:rsidRDefault="003D172D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2213ED" w:rsidRPr="002213ED" w:rsidRDefault="002213ED" w:rsidP="002213ED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2213ED">
        <w:rPr>
          <w:rFonts w:ascii="Verdana" w:hAnsi="Verdana"/>
          <w:sz w:val="20"/>
          <w:szCs w:val="20"/>
          <w:lang w:val="bg-BG"/>
        </w:rPr>
        <w:t>•</w:t>
      </w:r>
      <w:r w:rsidRPr="002213ED">
        <w:rPr>
          <w:rFonts w:ascii="Verdana" w:hAnsi="Verdana"/>
          <w:sz w:val="20"/>
          <w:szCs w:val="20"/>
          <w:lang w:val="bg-BG"/>
        </w:rPr>
        <w:tab/>
        <w:t>Реализацията на инвестиционното предложение ще бъде  извън територията на защитени зони, съгласно чл. 5 от Закона за биологичното разнообразие и извън границите на защитени територии, съгласно Закона за защитените територии, поради което не се очаква унищожаване, увреждане или влошаване състоянието на видове, предмет на опазване на най-близката защитена зона.</w:t>
      </w:r>
    </w:p>
    <w:p w:rsidR="002213ED" w:rsidRPr="002213ED" w:rsidRDefault="002213ED" w:rsidP="002213ED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2213ED">
        <w:rPr>
          <w:rFonts w:ascii="Verdana" w:hAnsi="Verdana"/>
          <w:sz w:val="20"/>
          <w:szCs w:val="20"/>
          <w:lang w:val="bg-BG"/>
        </w:rPr>
        <w:t>•</w:t>
      </w:r>
      <w:r w:rsidRPr="002213ED">
        <w:rPr>
          <w:rFonts w:ascii="Verdana" w:hAnsi="Verdana"/>
          <w:sz w:val="20"/>
          <w:szCs w:val="20"/>
          <w:lang w:val="bg-BG"/>
        </w:rPr>
        <w:tab/>
        <w:t>С реализацията на инвестиционното предложение не се засяга и не се очаква влошаване състоянието на предмета на опазване на най-близката защитена зона BG0000</w:t>
      </w:r>
      <w:r w:rsidR="00714456">
        <w:rPr>
          <w:rFonts w:ascii="Verdana" w:hAnsi="Verdana"/>
          <w:sz w:val="20"/>
          <w:szCs w:val="20"/>
          <w:lang w:val="bg-BG"/>
        </w:rPr>
        <w:t>578</w:t>
      </w:r>
      <w:r w:rsidRPr="002213ED">
        <w:rPr>
          <w:rFonts w:ascii="Verdana" w:hAnsi="Verdana"/>
          <w:sz w:val="20"/>
          <w:szCs w:val="20"/>
          <w:lang w:val="bg-BG"/>
        </w:rPr>
        <w:t xml:space="preserve"> „Река </w:t>
      </w:r>
      <w:r w:rsidR="00714456">
        <w:rPr>
          <w:rFonts w:ascii="Verdana" w:hAnsi="Verdana"/>
          <w:sz w:val="20"/>
          <w:szCs w:val="20"/>
          <w:lang w:val="bg-BG"/>
        </w:rPr>
        <w:t>Марица</w:t>
      </w:r>
      <w:r w:rsidRPr="002213ED">
        <w:rPr>
          <w:rFonts w:ascii="Verdana" w:hAnsi="Verdana"/>
          <w:sz w:val="20"/>
          <w:szCs w:val="20"/>
          <w:lang w:val="bg-BG"/>
        </w:rPr>
        <w:t>”.</w:t>
      </w:r>
    </w:p>
    <w:p w:rsidR="002C26DC" w:rsidRDefault="002213ED" w:rsidP="002C26DC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2213ED">
        <w:rPr>
          <w:rFonts w:ascii="Verdana" w:hAnsi="Verdana"/>
          <w:sz w:val="20"/>
          <w:szCs w:val="20"/>
          <w:lang w:val="bg-BG"/>
        </w:rPr>
        <w:t>•</w:t>
      </w:r>
      <w:r w:rsidRPr="002213ED">
        <w:rPr>
          <w:rFonts w:ascii="Verdana" w:hAnsi="Verdana"/>
          <w:sz w:val="20"/>
          <w:szCs w:val="20"/>
          <w:lang w:val="bg-BG"/>
        </w:rPr>
        <w:tab/>
        <w:t>От предвижданата дейност не се очаква генериране на емисии и отпадъци във вид и количества, които да окажат значително отрицателно въздействие върху предмета на опазване в защитената зона.</w:t>
      </w:r>
    </w:p>
    <w:p w:rsidR="002C26DC" w:rsidRDefault="002C26DC" w:rsidP="002C26DC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F84A00" w:rsidRDefault="003D172D" w:rsidP="002C26DC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3D172D" w:rsidRPr="00716048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Териториалния</w:t>
      </w:r>
      <w:r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</w:t>
      </w:r>
      <w:r w:rsidR="00FD1E16">
        <w:rPr>
          <w:rFonts w:ascii="Verdana" w:hAnsi="Verdana"/>
          <w:sz w:val="20"/>
          <w:szCs w:val="20"/>
          <w:lang w:val="bg-BG"/>
        </w:rPr>
        <w:t xml:space="preserve">на изграждането и експлоатацията на </w:t>
      </w:r>
      <w:r w:rsidR="00FD1E16" w:rsidRPr="00480A3A">
        <w:rPr>
          <w:rFonts w:ascii="Verdana" w:hAnsi="Verdana"/>
          <w:sz w:val="20"/>
          <w:szCs w:val="20"/>
          <w:lang w:val="bg-BG"/>
        </w:rPr>
        <w:t>горецитираното</w:t>
      </w:r>
      <w:r w:rsidRPr="00716048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3D172D" w:rsidRPr="00716048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716048" w:rsidRDefault="003D172D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3D172D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D172D" w:rsidRPr="001704D7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5422C3">
        <w:rPr>
          <w:rFonts w:ascii="Verdana" w:hAnsi="Verdana"/>
          <w:sz w:val="20"/>
          <w:szCs w:val="20"/>
          <w:lang w:val="ru-RU"/>
        </w:rPr>
        <w:t>6568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 w:rsidR="00A24CFA">
        <w:rPr>
          <w:rFonts w:ascii="Verdana" w:hAnsi="Verdana"/>
          <w:sz w:val="20"/>
          <w:szCs w:val="20"/>
          <w:lang w:val="ru-RU"/>
        </w:rPr>
        <w:t>2</w:t>
      </w:r>
      <w:r w:rsidR="005422C3">
        <w:rPr>
          <w:rFonts w:ascii="Verdana" w:hAnsi="Verdana"/>
          <w:sz w:val="20"/>
          <w:szCs w:val="20"/>
          <w:lang w:val="ru-RU"/>
        </w:rPr>
        <w:t>8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 w:rsidR="00814E7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0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5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>е определила липсата на здравен риск</w:t>
      </w:r>
      <w:r w:rsidR="00A24CFA">
        <w:rPr>
          <w:rFonts w:ascii="Verdana" w:hAnsi="Verdana"/>
          <w:sz w:val="20"/>
          <w:szCs w:val="20"/>
          <w:lang w:val="ru-RU"/>
        </w:rPr>
        <w:t xml:space="preserve"> за населението</w:t>
      </w:r>
      <w:r w:rsidRPr="001704D7">
        <w:rPr>
          <w:rFonts w:ascii="Verdana" w:hAnsi="Verdana"/>
          <w:sz w:val="20"/>
          <w:szCs w:val="20"/>
          <w:lang w:val="ru-RU"/>
        </w:rPr>
        <w:t xml:space="preserve"> при реализация на инвестиционното намерение.</w:t>
      </w:r>
    </w:p>
    <w:p w:rsidR="005422C3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</w:p>
    <w:p w:rsidR="003D172D" w:rsidRPr="00716048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2213ED" w:rsidRPr="002213ED" w:rsidRDefault="002213ED" w:rsidP="002213ED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2213ED">
        <w:rPr>
          <w:rFonts w:ascii="Verdana" w:hAnsi="Verdana"/>
          <w:lang w:val="bg-BG"/>
        </w:rPr>
        <w:t xml:space="preserve">Съобразно изискванията на чл.4, ал. 2 от Наредбата за ОВОС Възложителят е уведомил за своето инвестиционно предложение кметовете на община </w:t>
      </w:r>
      <w:r w:rsidR="005422C3">
        <w:rPr>
          <w:rFonts w:ascii="Verdana" w:hAnsi="Verdana"/>
          <w:lang w:val="bg-BG"/>
        </w:rPr>
        <w:t xml:space="preserve">Садово </w:t>
      </w:r>
      <w:r w:rsidR="00A24CFA">
        <w:rPr>
          <w:rFonts w:ascii="Verdana" w:hAnsi="Verdana"/>
          <w:lang w:val="bg-BG"/>
        </w:rPr>
        <w:t>и с.</w:t>
      </w:r>
      <w:r w:rsidR="00260703">
        <w:rPr>
          <w:rFonts w:ascii="Verdana" w:hAnsi="Verdana"/>
          <w:lang w:val="bg-BG"/>
        </w:rPr>
        <w:t xml:space="preserve"> </w:t>
      </w:r>
      <w:r w:rsidR="005422C3">
        <w:rPr>
          <w:rFonts w:ascii="Verdana" w:hAnsi="Verdana"/>
          <w:lang w:val="bg-BG"/>
        </w:rPr>
        <w:t>милево</w:t>
      </w:r>
      <w:r w:rsidRPr="002213ED">
        <w:rPr>
          <w:rFonts w:ascii="Verdana" w:hAnsi="Verdana"/>
          <w:lang w:val="bg-BG"/>
        </w:rPr>
        <w:t>, както и засегнатото население чрез обяви на информационно табло</w:t>
      </w:r>
      <w:r w:rsidR="005422C3">
        <w:rPr>
          <w:rFonts w:ascii="Verdana" w:hAnsi="Verdana"/>
          <w:lang w:val="bg-BG"/>
        </w:rPr>
        <w:t>, вестник</w:t>
      </w:r>
      <w:r w:rsidRPr="002213ED">
        <w:rPr>
          <w:rFonts w:ascii="Verdana" w:hAnsi="Verdana"/>
          <w:lang w:val="bg-BG"/>
        </w:rPr>
        <w:t xml:space="preserve"> и общински сайт. </w:t>
      </w:r>
    </w:p>
    <w:p w:rsidR="002213ED" w:rsidRPr="002213ED" w:rsidRDefault="002213ED" w:rsidP="002213ED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2213ED">
        <w:rPr>
          <w:rFonts w:ascii="Verdana" w:hAnsi="Verdana"/>
          <w:lang w:val="bg-BG"/>
        </w:rPr>
        <w:t xml:space="preserve">Осигурен е обществен достъп до информацията по приложение </w:t>
      </w:r>
      <w:r w:rsidRPr="002213ED">
        <w:rPr>
          <w:rFonts w:ascii="Verdana" w:hAnsi="Verdana"/>
          <w:lang w:val="ru-RU"/>
        </w:rPr>
        <w:t>№ 2 по реда на чл. 6, ал. 9 от Наредбата за ОВОС. С писм</w:t>
      </w:r>
      <w:r w:rsidR="00260703">
        <w:rPr>
          <w:rFonts w:ascii="Verdana" w:hAnsi="Verdana"/>
          <w:lang w:val="ru-RU"/>
        </w:rPr>
        <w:t>а</w:t>
      </w:r>
      <w:r w:rsidRPr="002213ED">
        <w:rPr>
          <w:rFonts w:ascii="Verdana" w:hAnsi="Verdana"/>
          <w:lang w:val="ru-RU"/>
        </w:rPr>
        <w:t xml:space="preserve"> изх. № </w:t>
      </w:r>
      <w:r w:rsidR="00260703">
        <w:rPr>
          <w:rFonts w:ascii="Verdana" w:hAnsi="Verdana"/>
          <w:lang w:val="ru-RU"/>
        </w:rPr>
        <w:t>6</w:t>
      </w:r>
      <w:r w:rsidR="005422C3">
        <w:rPr>
          <w:rFonts w:ascii="Verdana" w:hAnsi="Verdana"/>
          <w:lang w:val="ru-RU"/>
        </w:rPr>
        <w:t>8</w:t>
      </w:r>
      <w:r w:rsidR="00260703">
        <w:rPr>
          <w:rFonts w:ascii="Verdana" w:hAnsi="Verdana"/>
          <w:lang w:val="ru-RU"/>
        </w:rPr>
        <w:t>-</w:t>
      </w:r>
      <w:r w:rsidR="005422C3">
        <w:rPr>
          <w:rFonts w:ascii="Verdana" w:hAnsi="Verdana"/>
          <w:lang w:val="ru-RU"/>
        </w:rPr>
        <w:t>00</w:t>
      </w:r>
      <w:r w:rsidR="00260703">
        <w:rPr>
          <w:rFonts w:ascii="Verdana" w:hAnsi="Verdana"/>
          <w:lang w:val="ru-RU"/>
        </w:rPr>
        <w:t>-</w:t>
      </w:r>
      <w:r w:rsidR="005422C3">
        <w:rPr>
          <w:rFonts w:ascii="Verdana" w:hAnsi="Verdana"/>
          <w:lang w:val="ru-RU"/>
        </w:rPr>
        <w:t>246</w:t>
      </w:r>
      <w:r w:rsidRPr="002213ED">
        <w:rPr>
          <w:rFonts w:ascii="Verdana" w:hAnsi="Verdana"/>
          <w:lang w:val="ru-RU"/>
        </w:rPr>
        <w:t>/2</w:t>
      </w:r>
      <w:r w:rsidR="005422C3">
        <w:rPr>
          <w:rFonts w:ascii="Verdana" w:hAnsi="Verdana"/>
          <w:lang w:val="ru-RU"/>
        </w:rPr>
        <w:t>9</w:t>
      </w:r>
      <w:r w:rsidRPr="002213ED">
        <w:rPr>
          <w:rFonts w:ascii="Verdana" w:hAnsi="Verdana"/>
          <w:lang w:val="ru-RU"/>
        </w:rPr>
        <w:t xml:space="preserve">.10.2015г. община </w:t>
      </w:r>
      <w:r w:rsidR="005422C3">
        <w:rPr>
          <w:rFonts w:ascii="Verdana" w:hAnsi="Verdana"/>
          <w:lang w:val="ru-RU"/>
        </w:rPr>
        <w:t xml:space="preserve">Садово </w:t>
      </w:r>
      <w:r w:rsidR="00260703">
        <w:rPr>
          <w:rFonts w:ascii="Verdana" w:hAnsi="Verdana"/>
          <w:lang w:val="ru-RU"/>
        </w:rPr>
        <w:t>и  №</w:t>
      </w:r>
      <w:r w:rsidR="001E1724">
        <w:rPr>
          <w:rFonts w:ascii="Verdana" w:hAnsi="Verdana"/>
          <w:lang w:val="ru-RU"/>
        </w:rPr>
        <w:t>116</w:t>
      </w:r>
      <w:r w:rsidR="00260703">
        <w:rPr>
          <w:rFonts w:ascii="Verdana" w:hAnsi="Verdana"/>
          <w:lang w:val="ru-RU"/>
        </w:rPr>
        <w:t>/</w:t>
      </w:r>
      <w:r w:rsidR="001E1724">
        <w:rPr>
          <w:rFonts w:ascii="Verdana" w:hAnsi="Verdana"/>
          <w:lang w:val="ru-RU"/>
        </w:rPr>
        <w:t>11</w:t>
      </w:r>
      <w:r w:rsidR="00260703">
        <w:rPr>
          <w:rFonts w:ascii="Verdana" w:hAnsi="Verdana"/>
          <w:lang w:val="ru-RU"/>
        </w:rPr>
        <w:t>.1</w:t>
      </w:r>
      <w:r w:rsidR="005422C3">
        <w:rPr>
          <w:rFonts w:ascii="Verdana" w:hAnsi="Verdana"/>
          <w:lang w:val="ru-RU"/>
        </w:rPr>
        <w:t>1</w:t>
      </w:r>
      <w:r w:rsidR="00260703">
        <w:rPr>
          <w:rFonts w:ascii="Verdana" w:hAnsi="Verdana"/>
          <w:lang w:val="ru-RU"/>
        </w:rPr>
        <w:t xml:space="preserve">.2015г. </w:t>
      </w:r>
      <w:r w:rsidR="005422C3">
        <w:rPr>
          <w:rFonts w:ascii="Verdana" w:hAnsi="Verdana"/>
          <w:lang w:val="ru-RU"/>
        </w:rPr>
        <w:t>кметство с. Милево</w:t>
      </w:r>
      <w:r w:rsidR="00260703">
        <w:rPr>
          <w:rFonts w:ascii="Verdana" w:hAnsi="Verdana"/>
          <w:lang w:val="ru-RU"/>
        </w:rPr>
        <w:t xml:space="preserve"> </w:t>
      </w:r>
      <w:r w:rsidRPr="002213ED">
        <w:rPr>
          <w:rFonts w:ascii="Verdana" w:hAnsi="Verdana"/>
          <w:lang w:val="ru-RU"/>
        </w:rPr>
        <w:t xml:space="preserve">  информира</w:t>
      </w:r>
      <w:r w:rsidR="00260703">
        <w:rPr>
          <w:rFonts w:ascii="Verdana" w:hAnsi="Verdana"/>
          <w:lang w:val="ru-RU"/>
        </w:rPr>
        <w:t>т</w:t>
      </w:r>
      <w:r w:rsidRPr="002213ED">
        <w:rPr>
          <w:rFonts w:ascii="Verdana" w:hAnsi="Verdana"/>
          <w:lang w:val="ru-RU"/>
        </w:rPr>
        <w:t xml:space="preserve"> РИОСВ за липсата на писмени възражения относно  инвестиционното предложение. </w:t>
      </w:r>
      <w:r w:rsidR="005422C3" w:rsidRPr="00416D8A">
        <w:rPr>
          <w:rFonts w:ascii="Verdana" w:hAnsi="Verdana"/>
        </w:rPr>
        <w:t>„Галус 2004“ ЕООД</w:t>
      </w:r>
      <w:r w:rsidRPr="002213ED">
        <w:rPr>
          <w:rFonts w:ascii="Verdana" w:hAnsi="Verdana"/>
          <w:lang w:val="bg-BG"/>
        </w:rPr>
        <w:t xml:space="preserve"> със свое писмо </w:t>
      </w:r>
      <w:r w:rsidR="005422C3">
        <w:rPr>
          <w:rFonts w:ascii="Verdana" w:hAnsi="Verdana"/>
          <w:lang w:val="bg-BG"/>
        </w:rPr>
        <w:t>от 06.</w:t>
      </w:r>
      <w:r w:rsidR="001E1724">
        <w:rPr>
          <w:rFonts w:ascii="Verdana" w:hAnsi="Verdana"/>
          <w:lang w:val="bg-BG"/>
        </w:rPr>
        <w:t>11.</w:t>
      </w:r>
      <w:r w:rsidR="005422C3">
        <w:rPr>
          <w:rFonts w:ascii="Verdana" w:hAnsi="Verdana"/>
          <w:lang w:val="bg-BG"/>
        </w:rPr>
        <w:t>2015г. уведомява</w:t>
      </w:r>
      <w:r w:rsidRPr="002213ED">
        <w:rPr>
          <w:rFonts w:ascii="Verdana" w:hAnsi="Verdana"/>
          <w:lang w:val="ru-RU"/>
        </w:rPr>
        <w:t xml:space="preserve"> РИОСВ за липсата на писмени възражения относно  инвестиционното предложение.</w:t>
      </w:r>
    </w:p>
    <w:p w:rsidR="002213ED" w:rsidRPr="002213ED" w:rsidRDefault="002213ED" w:rsidP="002213ED">
      <w:pPr>
        <w:ind w:left="567"/>
        <w:jc w:val="both"/>
        <w:rPr>
          <w:rFonts w:ascii="Verdana" w:hAnsi="Verdana"/>
          <w:lang w:val="bg-BG"/>
        </w:rPr>
      </w:pPr>
    </w:p>
    <w:p w:rsidR="002213ED" w:rsidRPr="002213ED" w:rsidRDefault="002213ED" w:rsidP="002213ED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2213ED">
        <w:rPr>
          <w:rFonts w:ascii="Verdana" w:hAnsi="Verdana"/>
          <w:lang w:val="bg-BG"/>
        </w:rPr>
        <w:t>Към момента на издаване на настоящото решение в РИОСВ Пловдив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3D172D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FE1D54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3D172D" w:rsidRPr="00FE1D54" w:rsidRDefault="003D172D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lastRenderedPageBreak/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FE1D54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E5796B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r w:rsidRPr="00E5796B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3D172D" w:rsidRPr="00FE1D54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2C26DC" w:rsidRDefault="002C26DC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1317AF" w:rsidRDefault="001317AF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1317AF" w:rsidRDefault="001317AF" w:rsidP="00FE0A34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3D172D" w:rsidRPr="00DE3ED2" w:rsidRDefault="003D172D" w:rsidP="00FD1DE2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 xml:space="preserve">Доц. Стефан Шилев                                                    </w:t>
      </w:r>
      <w:r>
        <w:rPr>
          <w:rFonts w:ascii="Verdana" w:hAnsi="Verdana"/>
          <w:b/>
          <w:lang w:val="bg-BG"/>
        </w:rPr>
        <w:t xml:space="preserve">             </w:t>
      </w:r>
      <w:r w:rsidR="00857469">
        <w:rPr>
          <w:rFonts w:ascii="Verdana" w:hAnsi="Verdana"/>
          <w:b/>
          <w:lang w:val="bg-BG"/>
        </w:rPr>
        <w:t>17</w:t>
      </w:r>
      <w:r w:rsidR="0027422F">
        <w:rPr>
          <w:rFonts w:ascii="Verdana" w:hAnsi="Verdana"/>
          <w:b/>
          <w:lang w:val="bg-BG"/>
        </w:rPr>
        <w:t>.</w:t>
      </w:r>
      <w:r w:rsidR="00857469">
        <w:rPr>
          <w:rFonts w:ascii="Verdana" w:hAnsi="Verdana"/>
          <w:b/>
          <w:lang w:val="bg-BG"/>
        </w:rPr>
        <w:t>11.</w:t>
      </w:r>
      <w:r>
        <w:rPr>
          <w:rFonts w:ascii="Verdana" w:hAnsi="Verdana"/>
          <w:b/>
        </w:rPr>
        <w:t>2015</w:t>
      </w:r>
      <w:r>
        <w:rPr>
          <w:rFonts w:ascii="Verdana" w:hAnsi="Verdana"/>
          <w:b/>
          <w:lang w:val="bg-BG"/>
        </w:rPr>
        <w:t>г.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</w:p>
    <w:p w:rsidR="00641E63" w:rsidRDefault="006D10D5" w:rsidP="002C26DC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</w:rPr>
        <w:t xml:space="preserve">      </w:t>
      </w:r>
    </w:p>
    <w:p w:rsidR="001317AF" w:rsidRDefault="001317AF" w:rsidP="002C26DC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</w:p>
    <w:p w:rsidR="001317AF" w:rsidRPr="001317AF" w:rsidRDefault="001317AF" w:rsidP="002C26DC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</w:p>
    <w:p w:rsidR="001317AF" w:rsidRDefault="001317AF" w:rsidP="002C26DC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</w:p>
    <w:p w:rsidR="001317AF" w:rsidRPr="00D31B84" w:rsidRDefault="001317AF" w:rsidP="001E1724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bg-BG"/>
        </w:rPr>
        <w:t xml:space="preserve">      </w:t>
      </w:r>
    </w:p>
    <w:p w:rsidR="001317AF" w:rsidRPr="001317AF" w:rsidRDefault="001317AF" w:rsidP="002C26DC">
      <w:pPr>
        <w:pStyle w:val="a5"/>
        <w:tabs>
          <w:tab w:val="left" w:pos="1500"/>
        </w:tabs>
        <w:ind w:left="-540"/>
        <w:jc w:val="both"/>
        <w:rPr>
          <w:rFonts w:ascii="Verdana" w:hAnsi="Verdana"/>
          <w:i/>
          <w:lang w:val="bg-BG"/>
        </w:rPr>
      </w:pPr>
    </w:p>
    <w:sectPr w:rsidR="001317AF" w:rsidRPr="001317AF" w:rsidSect="005422C3">
      <w:footerReference w:type="default" r:id="rId7"/>
      <w:headerReference w:type="first" r:id="rId8"/>
      <w:pgSz w:w="11907" w:h="16840" w:code="9"/>
      <w:pgMar w:top="851" w:right="1134" w:bottom="284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37DE5094" wp14:editId="66C5FE47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54B8D2B1" wp14:editId="5177B587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3B1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787BE517" wp14:editId="44109685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2419E7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19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1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583B"/>
    <w:rsid w:val="00006EB2"/>
    <w:rsid w:val="00007441"/>
    <w:rsid w:val="00015667"/>
    <w:rsid w:val="000156D4"/>
    <w:rsid w:val="00016392"/>
    <w:rsid w:val="000214A4"/>
    <w:rsid w:val="00027F8D"/>
    <w:rsid w:val="00035A18"/>
    <w:rsid w:val="000370D7"/>
    <w:rsid w:val="000415D7"/>
    <w:rsid w:val="00043E93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816BF"/>
    <w:rsid w:val="0008552A"/>
    <w:rsid w:val="000A33E5"/>
    <w:rsid w:val="000B0557"/>
    <w:rsid w:val="000B7CD8"/>
    <w:rsid w:val="000C0084"/>
    <w:rsid w:val="000C7647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17AF"/>
    <w:rsid w:val="00137686"/>
    <w:rsid w:val="0014107D"/>
    <w:rsid w:val="00144579"/>
    <w:rsid w:val="001469CC"/>
    <w:rsid w:val="00153AB0"/>
    <w:rsid w:val="00155420"/>
    <w:rsid w:val="00157D1E"/>
    <w:rsid w:val="00167FE7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11F3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1724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13ED"/>
    <w:rsid w:val="0022603E"/>
    <w:rsid w:val="00231EC8"/>
    <w:rsid w:val="00233451"/>
    <w:rsid w:val="00235172"/>
    <w:rsid w:val="00236A4B"/>
    <w:rsid w:val="0024120B"/>
    <w:rsid w:val="0024253C"/>
    <w:rsid w:val="0024344E"/>
    <w:rsid w:val="002479ED"/>
    <w:rsid w:val="002501B0"/>
    <w:rsid w:val="002542ED"/>
    <w:rsid w:val="00256793"/>
    <w:rsid w:val="00260703"/>
    <w:rsid w:val="00264883"/>
    <w:rsid w:val="00265F2E"/>
    <w:rsid w:val="00266D04"/>
    <w:rsid w:val="00267E26"/>
    <w:rsid w:val="00272820"/>
    <w:rsid w:val="0027422F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4268"/>
    <w:rsid w:val="002B52AF"/>
    <w:rsid w:val="002B7809"/>
    <w:rsid w:val="002C252C"/>
    <w:rsid w:val="002C26DC"/>
    <w:rsid w:val="002C2B04"/>
    <w:rsid w:val="002D0F7E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B5F"/>
    <w:rsid w:val="00335FA1"/>
    <w:rsid w:val="00336F51"/>
    <w:rsid w:val="0034243F"/>
    <w:rsid w:val="00343C8D"/>
    <w:rsid w:val="003448CF"/>
    <w:rsid w:val="0034511F"/>
    <w:rsid w:val="00345E12"/>
    <w:rsid w:val="003460F5"/>
    <w:rsid w:val="003536FC"/>
    <w:rsid w:val="00357510"/>
    <w:rsid w:val="00364ED4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C36C1"/>
    <w:rsid w:val="003C4829"/>
    <w:rsid w:val="003C4A3D"/>
    <w:rsid w:val="003C4FEA"/>
    <w:rsid w:val="003D172D"/>
    <w:rsid w:val="003D295E"/>
    <w:rsid w:val="003D51BB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16D8A"/>
    <w:rsid w:val="004201BA"/>
    <w:rsid w:val="004211A9"/>
    <w:rsid w:val="004240DF"/>
    <w:rsid w:val="004250D0"/>
    <w:rsid w:val="004300F2"/>
    <w:rsid w:val="00430E8F"/>
    <w:rsid w:val="004356E1"/>
    <w:rsid w:val="00435EDE"/>
    <w:rsid w:val="004421D9"/>
    <w:rsid w:val="00442F42"/>
    <w:rsid w:val="00445750"/>
    <w:rsid w:val="00446795"/>
    <w:rsid w:val="00446ED5"/>
    <w:rsid w:val="0044772B"/>
    <w:rsid w:val="00454D51"/>
    <w:rsid w:val="0046297F"/>
    <w:rsid w:val="00463196"/>
    <w:rsid w:val="00463353"/>
    <w:rsid w:val="004705D5"/>
    <w:rsid w:val="004720E3"/>
    <w:rsid w:val="00473467"/>
    <w:rsid w:val="00473C72"/>
    <w:rsid w:val="00481073"/>
    <w:rsid w:val="004836F9"/>
    <w:rsid w:val="004837F3"/>
    <w:rsid w:val="00484D46"/>
    <w:rsid w:val="004873CC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52B4"/>
    <w:rsid w:val="00527BF2"/>
    <w:rsid w:val="005377AB"/>
    <w:rsid w:val="00541B07"/>
    <w:rsid w:val="005422C3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6E0C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2A0B"/>
    <w:rsid w:val="00604466"/>
    <w:rsid w:val="0061175E"/>
    <w:rsid w:val="00614393"/>
    <w:rsid w:val="0061489B"/>
    <w:rsid w:val="00614F96"/>
    <w:rsid w:val="00616DCB"/>
    <w:rsid w:val="006225D8"/>
    <w:rsid w:val="006340C8"/>
    <w:rsid w:val="00634C9A"/>
    <w:rsid w:val="006358DD"/>
    <w:rsid w:val="00635A13"/>
    <w:rsid w:val="00635A23"/>
    <w:rsid w:val="00641E63"/>
    <w:rsid w:val="006508A4"/>
    <w:rsid w:val="00660C3F"/>
    <w:rsid w:val="00661C46"/>
    <w:rsid w:val="00662EDD"/>
    <w:rsid w:val="00666855"/>
    <w:rsid w:val="006742C4"/>
    <w:rsid w:val="006827CA"/>
    <w:rsid w:val="00684428"/>
    <w:rsid w:val="006918A2"/>
    <w:rsid w:val="00693019"/>
    <w:rsid w:val="00693984"/>
    <w:rsid w:val="00693F89"/>
    <w:rsid w:val="006A15DE"/>
    <w:rsid w:val="006A48FD"/>
    <w:rsid w:val="006A5156"/>
    <w:rsid w:val="006A77DF"/>
    <w:rsid w:val="006B0B9A"/>
    <w:rsid w:val="006B421A"/>
    <w:rsid w:val="006B7A10"/>
    <w:rsid w:val="006C2F64"/>
    <w:rsid w:val="006C34EC"/>
    <w:rsid w:val="006C4FB5"/>
    <w:rsid w:val="006C5A13"/>
    <w:rsid w:val="006C7E45"/>
    <w:rsid w:val="006D10D5"/>
    <w:rsid w:val="006D21A3"/>
    <w:rsid w:val="006D6188"/>
    <w:rsid w:val="006D69FC"/>
    <w:rsid w:val="006D7817"/>
    <w:rsid w:val="006E1608"/>
    <w:rsid w:val="006E266C"/>
    <w:rsid w:val="006E3D02"/>
    <w:rsid w:val="006E3DA0"/>
    <w:rsid w:val="006E7CA4"/>
    <w:rsid w:val="006F1C7C"/>
    <w:rsid w:val="006F1CB8"/>
    <w:rsid w:val="006F26FC"/>
    <w:rsid w:val="006F34C4"/>
    <w:rsid w:val="006F51E8"/>
    <w:rsid w:val="00700D38"/>
    <w:rsid w:val="00703C88"/>
    <w:rsid w:val="00704CD0"/>
    <w:rsid w:val="00714456"/>
    <w:rsid w:val="00716048"/>
    <w:rsid w:val="007167F4"/>
    <w:rsid w:val="00716979"/>
    <w:rsid w:val="0072407F"/>
    <w:rsid w:val="007316B2"/>
    <w:rsid w:val="007322DC"/>
    <w:rsid w:val="00732306"/>
    <w:rsid w:val="00735898"/>
    <w:rsid w:val="00740A90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8408E"/>
    <w:rsid w:val="007840FE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C5F1C"/>
    <w:rsid w:val="007D02D0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14E79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57469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D3F9B"/>
    <w:rsid w:val="008E0330"/>
    <w:rsid w:val="008E7F09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2793D"/>
    <w:rsid w:val="0093612F"/>
    <w:rsid w:val="00936425"/>
    <w:rsid w:val="009418F9"/>
    <w:rsid w:val="00941D20"/>
    <w:rsid w:val="00942A3F"/>
    <w:rsid w:val="00946D85"/>
    <w:rsid w:val="00950A93"/>
    <w:rsid w:val="00951272"/>
    <w:rsid w:val="009525B6"/>
    <w:rsid w:val="009526F9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24CFA"/>
    <w:rsid w:val="00A32000"/>
    <w:rsid w:val="00A32F7F"/>
    <w:rsid w:val="00A33765"/>
    <w:rsid w:val="00A35104"/>
    <w:rsid w:val="00A35167"/>
    <w:rsid w:val="00A40542"/>
    <w:rsid w:val="00A4382B"/>
    <w:rsid w:val="00A441BC"/>
    <w:rsid w:val="00A45F97"/>
    <w:rsid w:val="00A46A3D"/>
    <w:rsid w:val="00A57CE3"/>
    <w:rsid w:val="00A61AEF"/>
    <w:rsid w:val="00A62A41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C15F8"/>
    <w:rsid w:val="00AC3DF6"/>
    <w:rsid w:val="00AC4C10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2365"/>
    <w:rsid w:val="00AF339A"/>
    <w:rsid w:val="00AF42FF"/>
    <w:rsid w:val="00AF4862"/>
    <w:rsid w:val="00AF5DC3"/>
    <w:rsid w:val="00AF63BE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CB6"/>
    <w:rsid w:val="00B95937"/>
    <w:rsid w:val="00BA265B"/>
    <w:rsid w:val="00BA2819"/>
    <w:rsid w:val="00BB24EE"/>
    <w:rsid w:val="00BB565B"/>
    <w:rsid w:val="00BC3799"/>
    <w:rsid w:val="00BC39DC"/>
    <w:rsid w:val="00BD0D4D"/>
    <w:rsid w:val="00BD1094"/>
    <w:rsid w:val="00BD7D3F"/>
    <w:rsid w:val="00BE0B1B"/>
    <w:rsid w:val="00BF10A0"/>
    <w:rsid w:val="00BF1566"/>
    <w:rsid w:val="00BF17E2"/>
    <w:rsid w:val="00BF4E39"/>
    <w:rsid w:val="00BF4ECD"/>
    <w:rsid w:val="00C00904"/>
    <w:rsid w:val="00C0145B"/>
    <w:rsid w:val="00C02136"/>
    <w:rsid w:val="00C04311"/>
    <w:rsid w:val="00C044FA"/>
    <w:rsid w:val="00C22493"/>
    <w:rsid w:val="00C24CF6"/>
    <w:rsid w:val="00C30AE5"/>
    <w:rsid w:val="00C328C8"/>
    <w:rsid w:val="00C35B6C"/>
    <w:rsid w:val="00C365EF"/>
    <w:rsid w:val="00C36910"/>
    <w:rsid w:val="00C41DB3"/>
    <w:rsid w:val="00C46B3F"/>
    <w:rsid w:val="00C473A4"/>
    <w:rsid w:val="00C635AB"/>
    <w:rsid w:val="00C644B4"/>
    <w:rsid w:val="00C64A03"/>
    <w:rsid w:val="00C735B8"/>
    <w:rsid w:val="00C748C0"/>
    <w:rsid w:val="00C751DE"/>
    <w:rsid w:val="00C76288"/>
    <w:rsid w:val="00C76A20"/>
    <w:rsid w:val="00C862F4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222D"/>
    <w:rsid w:val="00CC4327"/>
    <w:rsid w:val="00CC52AA"/>
    <w:rsid w:val="00CC6C84"/>
    <w:rsid w:val="00CD19C3"/>
    <w:rsid w:val="00CD1F33"/>
    <w:rsid w:val="00CE1157"/>
    <w:rsid w:val="00CE2874"/>
    <w:rsid w:val="00CE597C"/>
    <w:rsid w:val="00CF46F3"/>
    <w:rsid w:val="00CF6DFC"/>
    <w:rsid w:val="00D01626"/>
    <w:rsid w:val="00D03B87"/>
    <w:rsid w:val="00D05AD4"/>
    <w:rsid w:val="00D06060"/>
    <w:rsid w:val="00D0715A"/>
    <w:rsid w:val="00D208D4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724D"/>
    <w:rsid w:val="00D87BF1"/>
    <w:rsid w:val="00D922EB"/>
    <w:rsid w:val="00D93AB6"/>
    <w:rsid w:val="00D960CD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07"/>
    <w:rsid w:val="00E84FA8"/>
    <w:rsid w:val="00E865C6"/>
    <w:rsid w:val="00E866C8"/>
    <w:rsid w:val="00E86DE1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5C15"/>
    <w:rsid w:val="00F5613A"/>
    <w:rsid w:val="00F56581"/>
    <w:rsid w:val="00F60705"/>
    <w:rsid w:val="00F653D3"/>
    <w:rsid w:val="00F72CF1"/>
    <w:rsid w:val="00F806AE"/>
    <w:rsid w:val="00F817A0"/>
    <w:rsid w:val="00F84A00"/>
    <w:rsid w:val="00F95EF1"/>
    <w:rsid w:val="00F95FC0"/>
    <w:rsid w:val="00FA2092"/>
    <w:rsid w:val="00FA789B"/>
    <w:rsid w:val="00FB04CC"/>
    <w:rsid w:val="00FB2BCC"/>
    <w:rsid w:val="00FB7B53"/>
    <w:rsid w:val="00FC755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E93405C"/>
  <w15:docId w15:val="{C785743C-5C0D-469A-9C5A-8E9D353B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1627</Words>
  <Characters>9275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6</cp:revision>
  <cp:lastPrinted>2015-11-11T08:14:00Z</cp:lastPrinted>
  <dcterms:created xsi:type="dcterms:W3CDTF">2015-11-10T13:56:00Z</dcterms:created>
  <dcterms:modified xsi:type="dcterms:W3CDTF">2019-09-24T13:10:00Z</dcterms:modified>
</cp:coreProperties>
</file>