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летен период</w:t>
      </w:r>
    </w:p>
    <w:p w:rsidR="00B33A5D" w:rsidRPr="00757D11" w:rsidRDefault="00B33A5D" w:rsidP="00B33A5D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Pr="00757D11">
        <w:rPr>
          <w:b/>
          <w:i/>
          <w:sz w:val="32"/>
          <w:szCs w:val="32"/>
        </w:rPr>
        <w:t>04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</w:t>
      </w:r>
      <w:r w:rsidR="00753BBF">
        <w:rPr>
          <w:b/>
          <w:i/>
          <w:sz w:val="32"/>
          <w:szCs w:val="32"/>
          <w:lang w:val="bg-BG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.201</w:t>
      </w:r>
      <w:r w:rsidR="00753BBF">
        <w:rPr>
          <w:b/>
          <w:i/>
          <w:sz w:val="32"/>
          <w:szCs w:val="32"/>
          <w:lang w:val="bg-BG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октомври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753BBF">
        <w:rPr>
          <w:rFonts w:ascii="Verdana" w:hAnsi="Verdana"/>
          <w:sz w:val="24"/>
          <w:szCs w:val="24"/>
          <w:lang w:val="bg-BG"/>
        </w:rPr>
        <w:t>8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…………………………………………………………………………7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……………………………………………………………………………………………8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P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водите.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AD482A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04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753BBF">
        <w:rPr>
          <w:rFonts w:ascii="Verdana" w:hAnsi="Verdana"/>
          <w:b/>
          <w:i/>
          <w:sz w:val="24"/>
          <w:szCs w:val="24"/>
          <w:lang w:val="bg-BG"/>
        </w:rPr>
        <w:t>8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9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753BBF">
        <w:rPr>
          <w:rFonts w:ascii="Verdana" w:hAnsi="Verdana"/>
          <w:b/>
          <w:i/>
          <w:sz w:val="24"/>
          <w:szCs w:val="24"/>
          <w:lang w:val="bg-BG"/>
        </w:rPr>
        <w:t>8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</w:t>
      </w:r>
      <w:r w:rsidR="00394412">
        <w:rPr>
          <w:rFonts w:ascii="Verdana" w:hAnsi="Verdana"/>
          <w:sz w:val="24"/>
          <w:szCs w:val="24"/>
          <w:lang w:val="bg-BG"/>
        </w:rPr>
        <w:t xml:space="preserve"> ниска</w:t>
      </w:r>
      <w:r w:rsidRPr="00E52746">
        <w:rPr>
          <w:rFonts w:ascii="Verdana" w:hAnsi="Verdana"/>
          <w:sz w:val="24"/>
          <w:szCs w:val="24"/>
          <w:lang w:val="bg-BG"/>
        </w:rPr>
        <w:t xml:space="preserve">  влажност на въздуха</w:t>
      </w:r>
      <w:r>
        <w:rPr>
          <w:rFonts w:ascii="Verdana" w:hAnsi="Verdana"/>
          <w:sz w:val="24"/>
          <w:szCs w:val="24"/>
          <w:lang w:val="bg-BG"/>
        </w:rPr>
        <w:t xml:space="preserve"> през </w:t>
      </w:r>
      <w:r w:rsidR="00BE172B">
        <w:rPr>
          <w:rFonts w:ascii="Verdana" w:hAnsi="Verdana"/>
          <w:sz w:val="24"/>
          <w:szCs w:val="24"/>
          <w:lang w:val="bg-BG"/>
        </w:rPr>
        <w:t>летния</w:t>
      </w:r>
      <w:r>
        <w:rPr>
          <w:rFonts w:ascii="Verdana" w:hAnsi="Verdana"/>
          <w:sz w:val="24"/>
          <w:szCs w:val="24"/>
          <w:lang w:val="bg-BG"/>
        </w:rPr>
        <w:t xml:space="preserve"> период</w:t>
      </w:r>
      <w:r w:rsidRPr="00E52746">
        <w:rPr>
          <w:rFonts w:ascii="Verdana" w:hAnsi="Verdana"/>
          <w:sz w:val="24"/>
          <w:szCs w:val="24"/>
          <w:lang w:val="bg-BG"/>
        </w:rPr>
        <w:t xml:space="preserve">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="00DC6F43">
        <w:rPr>
          <w:rFonts w:ascii="Verdana" w:hAnsi="Verdana"/>
          <w:sz w:val="24"/>
          <w:szCs w:val="24"/>
        </w:rPr>
        <w:t>парови</w:t>
      </w:r>
      <w:proofErr w:type="spellEnd"/>
      <w:r w:rsidR="00DC6F43">
        <w:rPr>
          <w:rFonts w:ascii="Verdana" w:hAnsi="Verdana"/>
          <w:sz w:val="24"/>
          <w:szCs w:val="24"/>
        </w:rPr>
        <w:t xml:space="preserve"> централи  (</w:t>
      </w:r>
      <w:r w:rsidRPr="00096AA1">
        <w:rPr>
          <w:rFonts w:ascii="Verdana" w:hAnsi="Verdana"/>
          <w:sz w:val="24"/>
          <w:szCs w:val="24"/>
        </w:rPr>
        <w:t>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 и др.), големи индустриални източници („ТЕЦ-Север”, „ОЦ-Юг”, „</w:t>
      </w:r>
      <w:proofErr w:type="spellStart"/>
      <w:r w:rsidR="00DB2B8A">
        <w:rPr>
          <w:rFonts w:ascii="Verdana" w:hAnsi="Verdana"/>
          <w:sz w:val="24"/>
          <w:szCs w:val="24"/>
        </w:rPr>
        <w:t>БиЕй</w:t>
      </w:r>
      <w:proofErr w:type="spellEnd"/>
      <w:r w:rsidR="00DB2B8A">
        <w:rPr>
          <w:rFonts w:ascii="Verdana" w:hAnsi="Verdana"/>
          <w:sz w:val="24"/>
          <w:szCs w:val="24"/>
        </w:rPr>
        <w:t xml:space="preserve"> Глас България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Нормите за съдържание на озон в атмосферния въздух, които следва да бъдат достигнати и поддържани, както и критериите за оценка на нивата на </w:t>
      </w:r>
      <w:r w:rsidRPr="00096AA1">
        <w:rPr>
          <w:rFonts w:ascii="Verdana" w:hAnsi="Verdana"/>
          <w:sz w:val="24"/>
          <w:szCs w:val="24"/>
          <w:lang w:val="bg-BG"/>
        </w:rPr>
        <w:lastRenderedPageBreak/>
        <w:t>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приложение 12</w:t>
      </w:r>
      <w:r w:rsidRPr="00096AA1">
        <w:rPr>
          <w:rFonts w:ascii="Verdana" w:hAnsi="Verdana"/>
          <w:sz w:val="24"/>
          <w:szCs w:val="24"/>
          <w:lang w:val="bg-BG"/>
        </w:rPr>
        <w:t xml:space="preserve"> на Наредба №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12 (ДВ, бр. 58</w:t>
      </w:r>
      <w:r w:rsidRPr="00096AA1">
        <w:rPr>
          <w:rFonts w:ascii="Verdana" w:hAnsi="Verdana"/>
          <w:sz w:val="24"/>
          <w:szCs w:val="24"/>
          <w:lang w:val="bg-BG"/>
        </w:rPr>
        <w:t xml:space="preserve"> от 3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Pr="00096AA1">
        <w:rPr>
          <w:rFonts w:ascii="Verdana" w:hAnsi="Verdana"/>
          <w:sz w:val="24"/>
          <w:szCs w:val="24"/>
          <w:lang w:val="bg-BG"/>
        </w:rPr>
        <w:t>.07.20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Pr="00096AA1">
        <w:rPr>
          <w:rFonts w:ascii="Verdana" w:hAnsi="Verdana"/>
          <w:sz w:val="24"/>
          <w:szCs w:val="24"/>
          <w:lang w:val="bg-BG"/>
        </w:rPr>
        <w:t xml:space="preserve"> г.)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65FD7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080236">
        <w:rPr>
          <w:rFonts w:ascii="Verdana" w:hAnsi="Verdana"/>
          <w:sz w:val="24"/>
          <w:szCs w:val="24"/>
          <w:lang w:val="bg-BG"/>
        </w:rPr>
        <w:t>4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753BBF">
        <w:rPr>
          <w:rFonts w:ascii="Verdana" w:hAnsi="Verdana"/>
          <w:sz w:val="24"/>
          <w:szCs w:val="24"/>
          <w:lang w:val="bg-BG"/>
        </w:rPr>
        <w:t>8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080236">
        <w:rPr>
          <w:rFonts w:ascii="Verdana" w:hAnsi="Verdana"/>
          <w:sz w:val="24"/>
          <w:szCs w:val="24"/>
          <w:lang w:val="bg-BG"/>
        </w:rPr>
        <w:t>9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753BBF">
        <w:rPr>
          <w:rFonts w:ascii="Verdana" w:hAnsi="Verdana"/>
          <w:sz w:val="24"/>
          <w:szCs w:val="24"/>
          <w:lang w:val="bg-BG"/>
        </w:rPr>
        <w:t>8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C2400D">
        <w:rPr>
          <w:rFonts w:ascii="Verdana" w:hAnsi="Verdana"/>
          <w:sz w:val="24"/>
          <w:szCs w:val="24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 2015</w:t>
      </w:r>
      <w:r w:rsidR="001C6CD8">
        <w:rPr>
          <w:rFonts w:ascii="Verdana" w:hAnsi="Verdana"/>
          <w:sz w:val="24"/>
          <w:szCs w:val="24"/>
          <w:lang w:val="bg-BG"/>
        </w:rPr>
        <w:t xml:space="preserve">, </w:t>
      </w:r>
      <w:r w:rsidR="00C2400D">
        <w:rPr>
          <w:rFonts w:ascii="Verdana" w:hAnsi="Verdana"/>
          <w:sz w:val="24"/>
          <w:szCs w:val="24"/>
          <w:lang w:val="bg-BG"/>
        </w:rPr>
        <w:t>2016</w:t>
      </w:r>
      <w:r w:rsidR="00753BBF">
        <w:rPr>
          <w:rFonts w:ascii="Verdana" w:hAnsi="Verdana"/>
          <w:sz w:val="24"/>
          <w:szCs w:val="24"/>
          <w:lang w:val="bg-BG"/>
        </w:rPr>
        <w:t xml:space="preserve">, </w:t>
      </w:r>
      <w:r w:rsidR="001C6CD8">
        <w:rPr>
          <w:rFonts w:ascii="Verdana" w:hAnsi="Verdana"/>
          <w:sz w:val="24"/>
          <w:szCs w:val="24"/>
          <w:lang w:val="bg-BG"/>
        </w:rPr>
        <w:t>2017</w:t>
      </w:r>
      <w:r w:rsidR="00753BBF">
        <w:rPr>
          <w:rFonts w:ascii="Verdana" w:hAnsi="Verdana"/>
          <w:sz w:val="24"/>
          <w:szCs w:val="24"/>
          <w:lang w:val="bg-BG"/>
        </w:rPr>
        <w:t xml:space="preserve"> и 2018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lastRenderedPageBreak/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2E09A0">
        <w:trPr>
          <w:cantSplit/>
        </w:trPr>
        <w:tc>
          <w:tcPr>
            <w:tcW w:w="1872" w:type="dxa"/>
          </w:tcPr>
          <w:p w:rsidR="00BE172B" w:rsidRPr="00C2400D" w:rsidRDefault="00BE172B">
            <w:pPr>
              <w:spacing w:line="276" w:lineRule="auto"/>
            </w:pPr>
            <w:r>
              <w:rPr>
                <w:lang w:val="bg-BG"/>
              </w:rPr>
              <w:t>лято - 201</w:t>
            </w:r>
            <w:r w:rsidR="00753BBF">
              <w:rPr>
                <w:lang w:val="bg-BG"/>
              </w:rPr>
              <w:t>8</w:t>
            </w:r>
          </w:p>
          <w:p w:rsidR="00BE172B" w:rsidRDefault="00BE172B">
            <w:pPr>
              <w:pStyle w:val="3"/>
              <w:spacing w:line="276" w:lineRule="auto"/>
            </w:pPr>
            <w:r>
              <w:t>ОЗОН (О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2131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3128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97,43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69.1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67.1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68,1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82,76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МАХ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AE4EB2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136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средна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57,66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E634B0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5.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(бр.)</w:t>
            </w:r>
          </w:p>
        </w:tc>
        <w:tc>
          <w:tcPr>
            <w:tcW w:w="936" w:type="dxa"/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8B2D61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Default="008B2D61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6.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</w:tr>
      <w:tr w:rsidR="008B2D61" w:rsidRPr="002E09A0">
        <w:trPr>
          <w:cantSplit/>
        </w:trPr>
        <w:tc>
          <w:tcPr>
            <w:tcW w:w="1872" w:type="dxa"/>
          </w:tcPr>
          <w:p w:rsidR="008B2D61" w:rsidRPr="00BE172B" w:rsidRDefault="008B2D61" w:rsidP="000D1507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BE172B">
              <w:rPr>
                <w:lang w:val="bg-BG"/>
              </w:rPr>
              <w:t>. Превишения П</w:t>
            </w:r>
            <w:r>
              <w:rPr>
                <w:lang w:val="bg-BG"/>
              </w:rPr>
              <w:t>ИН</w:t>
            </w:r>
            <w:r w:rsidRPr="00BE172B">
              <w:rPr>
                <w:lang w:val="bg-BG"/>
              </w:rPr>
              <w:t xml:space="preserve">    </w:t>
            </w:r>
            <w:r w:rsidRPr="00BE172B">
              <w:rPr>
                <w:lang w:val="pt-BR"/>
              </w:rPr>
              <w:t xml:space="preserve"> </w:t>
            </w:r>
            <w:r w:rsidRPr="00BE172B"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52225F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Превишения- Брой дни с превишения на Краткосрочна целева норма</w:t>
      </w:r>
      <w:r w:rsidRPr="00096AA1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КЦН</w:t>
      </w:r>
      <w:r w:rsidRPr="00096AA1">
        <w:rPr>
          <w:rFonts w:ascii="Verdana" w:hAnsi="Verdana"/>
          <w:lang w:val="bg-BG"/>
        </w:rPr>
        <w:t>)</w:t>
      </w:r>
      <w:r w:rsidRPr="0052225F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осемчасова средна стойност над 1</w:t>
      </w:r>
      <w:r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>/m³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>Тенденция на изменение на регистрираните стойности 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926961">
        <w:rPr>
          <w:sz w:val="24"/>
          <w:szCs w:val="24"/>
          <w:vertAlign w:val="subscript"/>
        </w:rPr>
        <w:t xml:space="preserve"> </w:t>
      </w:r>
      <w:r w:rsidR="00926961">
        <w:rPr>
          <w:sz w:val="24"/>
          <w:szCs w:val="24"/>
        </w:rPr>
        <w:t xml:space="preserve"> в µ</w:t>
      </w:r>
      <w:r w:rsidR="00926961">
        <w:rPr>
          <w:sz w:val="24"/>
          <w:szCs w:val="24"/>
          <w:lang w:val="en-US"/>
        </w:rPr>
        <w:t>g/m</w:t>
      </w:r>
      <w:r w:rsidR="00926961">
        <w:rPr>
          <w:sz w:val="24"/>
          <w:szCs w:val="24"/>
          <w:vertAlign w:val="superscript"/>
          <w:lang w:val="en-US"/>
        </w:rPr>
        <w:t>3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</w:t>
      </w:r>
      <w:r w:rsidR="001227E5">
        <w:rPr>
          <w:sz w:val="24"/>
          <w:szCs w:val="24"/>
        </w:rPr>
        <w:t>,</w:t>
      </w:r>
      <w:r w:rsidR="001227E5" w:rsidRPr="001227E5">
        <w:rPr>
          <w:sz w:val="24"/>
          <w:szCs w:val="24"/>
        </w:rPr>
        <w:t xml:space="preserve"> за периода от 20</w:t>
      </w:r>
      <w:r w:rsidR="0063599E">
        <w:rPr>
          <w:sz w:val="24"/>
          <w:szCs w:val="24"/>
        </w:rPr>
        <w:t>1</w:t>
      </w:r>
      <w:r w:rsidR="00753BBF">
        <w:rPr>
          <w:sz w:val="24"/>
          <w:szCs w:val="24"/>
        </w:rPr>
        <w:t>2</w:t>
      </w:r>
      <w:r w:rsidR="001227E5" w:rsidRPr="001227E5">
        <w:rPr>
          <w:sz w:val="24"/>
          <w:szCs w:val="24"/>
        </w:rPr>
        <w:t>г. до 201</w:t>
      </w:r>
      <w:r w:rsidR="00753BBF">
        <w:rPr>
          <w:sz w:val="24"/>
          <w:szCs w:val="24"/>
        </w:rPr>
        <w:t>8</w:t>
      </w:r>
      <w:r w:rsidR="001227E5" w:rsidRPr="001227E5">
        <w:rPr>
          <w:sz w:val="24"/>
          <w:szCs w:val="24"/>
        </w:rPr>
        <w:t>г.</w:t>
      </w:r>
    </w:p>
    <w:p w:rsidR="00D825B5" w:rsidRPr="00D825B5" w:rsidRDefault="00D825B5" w:rsidP="00D825B5">
      <w:pPr>
        <w:rPr>
          <w:lang w:val="bg-BG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291AC6" w:rsidP="00543AB7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354D44C5" wp14:editId="64D54A50">
            <wp:extent cx="5314950" cy="3614737"/>
            <wp:effectExtent l="0" t="0" r="19050" b="2413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4E54" w:rsidRDefault="00B24E54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599E" w:rsidRPr="00B80AD8">
        <w:trPr>
          <w:cantSplit/>
        </w:trPr>
        <w:tc>
          <w:tcPr>
            <w:tcW w:w="2190" w:type="dxa"/>
          </w:tcPr>
          <w:p w:rsidR="0063599E" w:rsidRPr="00C2400D" w:rsidRDefault="0063599E" w:rsidP="0063599E">
            <w:pPr>
              <w:spacing w:line="276" w:lineRule="auto"/>
            </w:pPr>
            <w:r>
              <w:rPr>
                <w:lang w:val="bg-BG"/>
              </w:rPr>
              <w:t>лято – 201</w:t>
            </w:r>
            <w:r w:rsidR="00D825B5">
              <w:rPr>
                <w:lang w:val="bg-BG"/>
              </w:rPr>
              <w:t>8</w:t>
            </w:r>
          </w:p>
          <w:p w:rsidR="0063599E" w:rsidRDefault="0063599E" w:rsidP="0063599E">
            <w:pPr>
              <w:pStyle w:val="3"/>
              <w:spacing w:line="276" w:lineRule="auto"/>
            </w:pPr>
            <w:r>
              <w:t>Метеорология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Default="008B2D61" w:rsidP="008B2D61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19,66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23,66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21,66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Default="008B2D61" w:rsidP="008B2D61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2. Темп. 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36" w:type="dxa"/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B62C39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6" w:type="dxa"/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385D1A" w:rsidRDefault="008B2D61" w:rsidP="008B2D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4B5A2E" w:rsidRDefault="008B2D61" w:rsidP="008B2D6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8B2D61" w:rsidRPr="00B80AD8">
        <w:trPr>
          <w:cantSplit/>
        </w:trPr>
        <w:tc>
          <w:tcPr>
            <w:tcW w:w="2190" w:type="dxa"/>
          </w:tcPr>
          <w:p w:rsidR="008B2D61" w:rsidRPr="002E09A0" w:rsidRDefault="008B2D61" w:rsidP="001C6CD8">
            <w:pPr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AE4EB2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136</w:t>
            </w:r>
          </w:p>
        </w:tc>
      </w:tr>
      <w:tr w:rsidR="008B2D61" w:rsidRPr="00B80AD8" w:rsidTr="00CC77CB">
        <w:trPr>
          <w:cantSplit/>
          <w:trHeight w:val="70"/>
        </w:trPr>
        <w:tc>
          <w:tcPr>
            <w:tcW w:w="2190" w:type="dxa"/>
          </w:tcPr>
          <w:p w:rsidR="008B2D61" w:rsidRPr="006500C9" w:rsidRDefault="008B2D61" w:rsidP="001C6CD8">
            <w:pPr>
              <w:ind w:left="142" w:right="-133" w:hanging="198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4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57,66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E634B0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4426C8" w:rsidRDefault="008B2D61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291AC6" w:rsidRDefault="00291AC6" w:rsidP="000C5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3F5A88" w:rsidRDefault="008B2D61" w:rsidP="000C5618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1. Темп. ср.  – </w:t>
      </w:r>
      <w:proofErr w:type="spellStart"/>
      <w:r w:rsidRPr="00096AA1">
        <w:rPr>
          <w:rFonts w:ascii="Verdana" w:hAnsi="Verdana"/>
          <w:lang w:val="bg-BG"/>
        </w:rPr>
        <w:t>средномесечна</w:t>
      </w:r>
      <w:proofErr w:type="spellEnd"/>
      <w:r w:rsidRPr="00096AA1">
        <w:rPr>
          <w:rFonts w:ascii="Verdana" w:hAnsi="Verdana"/>
          <w:lang w:val="bg-BG"/>
        </w:rPr>
        <w:t xml:space="preserve">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2. Темп.  </w:t>
      </w:r>
      <w:proofErr w:type="spellStart"/>
      <w:r w:rsidRPr="00096AA1">
        <w:rPr>
          <w:rFonts w:ascii="Verdana" w:hAnsi="Verdana"/>
          <w:lang w:val="bg-BG"/>
        </w:rPr>
        <w:t>мах</w:t>
      </w:r>
      <w:proofErr w:type="spellEnd"/>
      <w:r w:rsidRPr="00096AA1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4F768A">
        <w:rPr>
          <w:rFonts w:ascii="Verdana" w:hAnsi="Verdana"/>
          <w:lang w:val="bg-BG"/>
        </w:rPr>
        <w:t>средночасова</w:t>
      </w:r>
      <w:proofErr w:type="spellEnd"/>
      <w:r w:rsidR="004F768A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температура</w:t>
      </w:r>
      <w:r w:rsidR="004F768A">
        <w:rPr>
          <w:rFonts w:ascii="Verdana" w:hAnsi="Verdana"/>
          <w:lang w:val="bg-BG"/>
        </w:rPr>
        <w:t xml:space="preserve"> 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3</w:t>
      </w:r>
      <w:r w:rsidR="006500C9" w:rsidRPr="00096AA1">
        <w:rPr>
          <w:rFonts w:ascii="Verdana" w:hAnsi="Verdana"/>
          <w:lang w:val="bg-BG" w:eastAsia="en-US"/>
        </w:rPr>
        <w:t>. Измерена максимална 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4</w:t>
      </w:r>
      <w:r w:rsidRPr="00096AA1">
        <w:rPr>
          <w:rFonts w:ascii="Verdana" w:hAnsi="Verdana"/>
          <w:lang w:val="bg-BG" w:eastAsia="en-US"/>
        </w:rPr>
        <w:t>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0A4063" w:rsidRDefault="000A4063" w:rsidP="00B85BCD">
      <w:pPr>
        <w:pStyle w:val="2"/>
        <w:rPr>
          <w:rFonts w:ascii="Verdana" w:hAnsi="Verdana"/>
          <w:i/>
          <w:sz w:val="24"/>
          <w:szCs w:val="24"/>
          <w:lang w:val="en-US"/>
        </w:rPr>
      </w:pP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 xml:space="preserve">повишаване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980A49">
        <w:rPr>
          <w:rFonts w:ascii="Verdana" w:hAnsi="Verdana"/>
          <w:b w:val="0"/>
          <w:sz w:val="24"/>
          <w:szCs w:val="24"/>
        </w:rPr>
        <w:t xml:space="preserve">засилва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>се увеличават</w:t>
      </w:r>
      <w:r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повишаване на регистрираните стойности се запазва до м. </w:t>
      </w:r>
      <w:r w:rsidR="00CB1C04">
        <w:rPr>
          <w:rFonts w:ascii="Verdana" w:hAnsi="Verdana"/>
          <w:b w:val="0"/>
          <w:sz w:val="24"/>
          <w:szCs w:val="24"/>
        </w:rPr>
        <w:t>август</w:t>
      </w:r>
      <w:r w:rsidR="00980A49">
        <w:rPr>
          <w:rFonts w:ascii="Verdana" w:hAnsi="Verdana"/>
          <w:b w:val="0"/>
          <w:sz w:val="24"/>
          <w:szCs w:val="24"/>
        </w:rPr>
        <w:t xml:space="preserve">, след което започва плавно да се понижават. </w:t>
      </w:r>
      <w:r w:rsidRPr="00096AA1">
        <w:rPr>
          <w:rFonts w:ascii="Verdana" w:hAnsi="Verdana"/>
          <w:b w:val="0"/>
          <w:sz w:val="24"/>
          <w:szCs w:val="24"/>
        </w:rPr>
        <w:t>(Фиг.2)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475949" w:rsidRDefault="002E0A2A" w:rsidP="005C382C">
      <w:pPr>
        <w:tabs>
          <w:tab w:val="right" w:pos="9753"/>
        </w:tabs>
      </w:pPr>
      <w:r>
        <w:rPr>
          <w:noProof/>
          <w:lang w:val="bg-BG"/>
        </w:rPr>
        <w:drawing>
          <wp:inline distT="0" distB="0" distL="0" distR="0" wp14:anchorId="4585F37C" wp14:editId="3EDAC2C6">
            <wp:extent cx="2762250" cy="377190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37052633" wp14:editId="5B974147">
            <wp:extent cx="2771775" cy="374332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C382C">
        <w:tab/>
      </w:r>
    </w:p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Default="00475949" w:rsidP="00475949"/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Наблюдаваното покачване  на стойностите през периода може да се свърже пряко с увеличаване на стойностите на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повишена слънчева радиация.</w:t>
      </w:r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представен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максимална температура.</w:t>
      </w:r>
    </w:p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>За ле</w:t>
      </w:r>
      <w:r w:rsidR="00980A49" w:rsidRPr="0059665C">
        <w:rPr>
          <w:rFonts w:ascii="Verdana" w:hAnsi="Verdana"/>
          <w:b w:val="0"/>
          <w:sz w:val="24"/>
          <w:szCs w:val="24"/>
        </w:rPr>
        <w:t>тен период 201</w:t>
      </w:r>
      <w:r w:rsidR="00CB1C04">
        <w:rPr>
          <w:rFonts w:ascii="Verdana" w:hAnsi="Verdana"/>
          <w:b w:val="0"/>
          <w:sz w:val="24"/>
          <w:szCs w:val="24"/>
        </w:rPr>
        <w:t>7</w:t>
      </w:r>
      <w:r w:rsidR="00980A49" w:rsidRPr="0059665C">
        <w:rPr>
          <w:rFonts w:ascii="Verdana" w:hAnsi="Verdana"/>
          <w:b w:val="0"/>
          <w:sz w:val="24"/>
          <w:szCs w:val="24"/>
        </w:rPr>
        <w:t xml:space="preserve"> г.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 xml:space="preserve">няма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 w:rsidR="00980A49">
        <w:rPr>
          <w:rFonts w:ascii="Verdana" w:hAnsi="Verdana"/>
          <w:b w:val="0"/>
          <w:sz w:val="24"/>
          <w:szCs w:val="24"/>
        </w:rPr>
        <w:t>при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 w:rsidR="00980A49">
        <w:rPr>
          <w:rFonts w:ascii="Verdana" w:hAnsi="Verdana"/>
          <w:b w:val="0"/>
          <w:sz w:val="24"/>
          <w:szCs w:val="24"/>
        </w:rPr>
        <w:t>предупреждаване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="00980A49"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 w:rsidR="00980A49"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="00980A49"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="00980A49" w:rsidRPr="00316265">
        <w:rPr>
          <w:rFonts w:ascii="Verdana" w:hAnsi="Verdana"/>
          <w:b w:val="0"/>
          <w:sz w:val="24"/>
          <w:szCs w:val="24"/>
        </w:rPr>
        <w:t>/m³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>Регистрираните данни удовлетворяват критериите за валидност на данните поставени в  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>Характерна особеност за летен период (01.І</w:t>
      </w:r>
      <w:r w:rsidRPr="005C062C">
        <w:rPr>
          <w:rFonts w:ascii="Verdana" w:hAnsi="Verdana"/>
          <w:sz w:val="24"/>
          <w:szCs w:val="24"/>
        </w:rPr>
        <w:t>V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Pr="005C062C">
        <w:rPr>
          <w:rFonts w:ascii="Verdana" w:hAnsi="Verdana"/>
          <w:sz w:val="24"/>
          <w:szCs w:val="24"/>
        </w:rPr>
        <w:t>0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IX</w:t>
      </w:r>
      <w:r w:rsidRPr="005C062C">
        <w:rPr>
          <w:rFonts w:ascii="Verdana" w:hAnsi="Verdana"/>
          <w:sz w:val="24"/>
          <w:szCs w:val="24"/>
          <w:lang w:val="bg-BG"/>
        </w:rPr>
        <w:t xml:space="preserve">) е, че с повишаване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 xml:space="preserve">слънчевата радиация, се  наблюдава  покачване в </w:t>
      </w:r>
      <w:r w:rsidR="005F6586">
        <w:rPr>
          <w:rFonts w:ascii="Verdana" w:hAnsi="Verdana"/>
          <w:sz w:val="24"/>
          <w:szCs w:val="24"/>
          <w:lang w:val="bg-BG"/>
        </w:rPr>
        <w:t xml:space="preserve">измерените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,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юли. </w:t>
      </w: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Съгласно  раздел ІІ от приложение № 3 към чл. 5, 6, 7, чл. 18, ал.1 и чл. 19, ал. 1 от Наредба № 12/30.07.2010 г.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652858">
        <w:rPr>
          <w:rFonts w:ascii="Verdana" w:hAnsi="Verdana"/>
          <w:sz w:val="24"/>
          <w:szCs w:val="24"/>
          <w:lang w:val="bg-BG"/>
        </w:rPr>
        <w:t>30.09</w:t>
      </w:r>
      <w:r>
        <w:rPr>
          <w:rFonts w:ascii="Verdana" w:hAnsi="Verdana"/>
          <w:sz w:val="24"/>
          <w:szCs w:val="24"/>
          <w:lang w:val="bg-BG"/>
        </w:rPr>
        <w:t>.201</w:t>
      </w:r>
      <w:r w:rsidR="00CB1C04">
        <w:rPr>
          <w:rFonts w:ascii="Verdana" w:hAnsi="Verdana"/>
          <w:sz w:val="24"/>
          <w:szCs w:val="24"/>
          <w:lang w:val="bg-BG"/>
        </w:rPr>
        <w:t>4</w:t>
      </w:r>
      <w:r>
        <w:rPr>
          <w:rFonts w:ascii="Verdana" w:hAnsi="Verdana"/>
          <w:sz w:val="24"/>
          <w:szCs w:val="24"/>
          <w:lang w:val="bg-BG"/>
        </w:rPr>
        <w:t xml:space="preserve"> г. до 30.09.201</w:t>
      </w:r>
      <w:r w:rsidR="00CB1C04">
        <w:rPr>
          <w:rFonts w:ascii="Verdana" w:hAnsi="Verdana"/>
          <w:sz w:val="24"/>
          <w:szCs w:val="24"/>
          <w:lang w:val="bg-BG"/>
        </w:rPr>
        <w:t>7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A572CA" w:rsidRPr="00A572CA">
        <w:rPr>
          <w:rFonts w:ascii="Verdana" w:hAnsi="Verdana"/>
          <w:sz w:val="24"/>
          <w:szCs w:val="24"/>
        </w:rPr>
        <w:t>2</w:t>
      </w:r>
      <w:r w:rsidR="00A572CA">
        <w:rPr>
          <w:rFonts w:ascii="Verdana" w:hAnsi="Verdana"/>
          <w:sz w:val="24"/>
          <w:szCs w:val="24"/>
        </w:rPr>
        <w:t>3</w:t>
      </w:r>
      <w:r w:rsidRPr="0052225F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652858">
        <w:rPr>
          <w:rFonts w:ascii="Verdana" w:hAnsi="Verdana"/>
          <w:sz w:val="24"/>
          <w:szCs w:val="24"/>
          <w:lang w:val="bg-BG"/>
        </w:rPr>
        <w:t xml:space="preserve">три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5972AF" w:rsidRDefault="005972AF" w:rsidP="005972AF">
      <w:pPr>
        <w:rPr>
          <w:lang w:val="bg-BG" w:eastAsia="en-US"/>
        </w:rPr>
      </w:pPr>
      <w:bookmarkStart w:id="0" w:name="_GoBack"/>
      <w:bookmarkEnd w:id="0"/>
    </w:p>
    <w:sectPr w:rsid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1837"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1741D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C6CD8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1AC6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94412"/>
    <w:rsid w:val="003A2C70"/>
    <w:rsid w:val="003A5BA4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6583E"/>
    <w:rsid w:val="00475949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4A5B"/>
    <w:rsid w:val="004F0FCB"/>
    <w:rsid w:val="004F1AFF"/>
    <w:rsid w:val="004F5265"/>
    <w:rsid w:val="004F768A"/>
    <w:rsid w:val="00500AB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0BF6"/>
    <w:rsid w:val="00595FC4"/>
    <w:rsid w:val="005972AF"/>
    <w:rsid w:val="005B0C67"/>
    <w:rsid w:val="005B59A6"/>
    <w:rsid w:val="005C382C"/>
    <w:rsid w:val="005C3EE5"/>
    <w:rsid w:val="005E0407"/>
    <w:rsid w:val="005E48BF"/>
    <w:rsid w:val="005E6BE8"/>
    <w:rsid w:val="005F4300"/>
    <w:rsid w:val="005F4559"/>
    <w:rsid w:val="005F55DC"/>
    <w:rsid w:val="005F6586"/>
    <w:rsid w:val="00604FAC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E322F"/>
    <w:rsid w:val="006F6E3E"/>
    <w:rsid w:val="007010D4"/>
    <w:rsid w:val="00701837"/>
    <w:rsid w:val="00701F16"/>
    <w:rsid w:val="007063A9"/>
    <w:rsid w:val="00707DD8"/>
    <w:rsid w:val="00710B44"/>
    <w:rsid w:val="00720952"/>
    <w:rsid w:val="007274D8"/>
    <w:rsid w:val="00731B60"/>
    <w:rsid w:val="00733786"/>
    <w:rsid w:val="00740D61"/>
    <w:rsid w:val="0075118B"/>
    <w:rsid w:val="00753BBF"/>
    <w:rsid w:val="00755D9B"/>
    <w:rsid w:val="0075785B"/>
    <w:rsid w:val="00767E46"/>
    <w:rsid w:val="00772D22"/>
    <w:rsid w:val="00773742"/>
    <w:rsid w:val="00783C74"/>
    <w:rsid w:val="007879F3"/>
    <w:rsid w:val="007951E4"/>
    <w:rsid w:val="007B51CD"/>
    <w:rsid w:val="007B6D34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94C11"/>
    <w:rsid w:val="008A3BC3"/>
    <w:rsid w:val="008B2D61"/>
    <w:rsid w:val="008C0D80"/>
    <w:rsid w:val="008D0B8A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6961"/>
    <w:rsid w:val="00927E7C"/>
    <w:rsid w:val="009301E1"/>
    <w:rsid w:val="00951005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572CA"/>
    <w:rsid w:val="00A61262"/>
    <w:rsid w:val="00A74D6D"/>
    <w:rsid w:val="00A758D0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1A85"/>
    <w:rsid w:val="00B13346"/>
    <w:rsid w:val="00B15534"/>
    <w:rsid w:val="00B22DC2"/>
    <w:rsid w:val="00B24E54"/>
    <w:rsid w:val="00B30F51"/>
    <w:rsid w:val="00B33A5D"/>
    <w:rsid w:val="00B45021"/>
    <w:rsid w:val="00B45534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E0E"/>
    <w:rsid w:val="00C2135E"/>
    <w:rsid w:val="00C2400D"/>
    <w:rsid w:val="00C3562C"/>
    <w:rsid w:val="00C431DE"/>
    <w:rsid w:val="00C44D8B"/>
    <w:rsid w:val="00C57829"/>
    <w:rsid w:val="00C6394F"/>
    <w:rsid w:val="00C63C74"/>
    <w:rsid w:val="00C81789"/>
    <w:rsid w:val="00C9088E"/>
    <w:rsid w:val="00CA0362"/>
    <w:rsid w:val="00CA718D"/>
    <w:rsid w:val="00CB0A5F"/>
    <w:rsid w:val="00CB0EE8"/>
    <w:rsid w:val="00CB1C04"/>
    <w:rsid w:val="00CB4F86"/>
    <w:rsid w:val="00CB5CD2"/>
    <w:rsid w:val="00CC39DC"/>
    <w:rsid w:val="00CC77CB"/>
    <w:rsid w:val="00CC7E13"/>
    <w:rsid w:val="00CD28C5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25B5"/>
    <w:rsid w:val="00D84F44"/>
    <w:rsid w:val="00D94BDF"/>
    <w:rsid w:val="00D96296"/>
    <w:rsid w:val="00DA35B2"/>
    <w:rsid w:val="00DB2B8A"/>
    <w:rsid w:val="00DC6F43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092776037403929E-2"/>
          <c:y val="5.6574517039552255E-2"/>
          <c:w val="0.79629554370219846"/>
          <c:h val="0.87297609756947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'[Диаграма в Microsoft Word]Лист1'!$D$11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Word]Лист1'!$D$12:$D$17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1"/>
          <c:order val="1"/>
          <c:tx>
            <c:strRef>
              <c:f>'[Диаграма в Microsoft Word]Лист1'!$E$11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Word]Лист1'!$E$12:$E$17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2"/>
          <c:order val="2"/>
          <c:tx>
            <c:strRef>
              <c:f>'[Диаграма в Microsoft Word]Лист1'!$F$11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Word]Лист1'!$F$12:$F$17</c:f>
              <c:numCache>
                <c:formatCode>General</c:formatCode>
                <c:ptCount val="6"/>
                <c:pt idx="0">
                  <c:v>50.15</c:v>
                </c:pt>
                <c:pt idx="1">
                  <c:v>55.4</c:v>
                </c:pt>
                <c:pt idx="2">
                  <c:v>59.1</c:v>
                </c:pt>
                <c:pt idx="3">
                  <c:v>65.5</c:v>
                </c:pt>
                <c:pt idx="4">
                  <c:v>67.5</c:v>
                </c:pt>
                <c:pt idx="5">
                  <c:v>44.2</c:v>
                </c:pt>
              </c:numCache>
            </c:numRef>
          </c:val>
        </c:ser>
        <c:ser>
          <c:idx val="3"/>
          <c:order val="3"/>
          <c:tx>
            <c:strRef>
              <c:f>'[Диаграма в Microsoft Word]Лист1'!$G$11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Word]Лист1'!$G$12:$G$17</c:f>
              <c:numCache>
                <c:formatCode>General</c:formatCode>
                <c:ptCount val="6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77</c:v>
                </c:pt>
                <c:pt idx="4">
                  <c:v>69</c:v>
                </c:pt>
                <c:pt idx="5">
                  <c:v>47</c:v>
                </c:pt>
              </c:numCache>
            </c:numRef>
          </c:val>
        </c:ser>
        <c:ser>
          <c:idx val="4"/>
          <c:order val="4"/>
          <c:tx>
            <c:strRef>
              <c:f>'[Диаграма в Microsoft Word]Лист1'!$H$11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Word]Лист1'!$H$12:$H$17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62</c:v>
                </c:pt>
                <c:pt idx="3">
                  <c:v>78</c:v>
                </c:pt>
                <c:pt idx="4">
                  <c:v>66</c:v>
                </c:pt>
                <c:pt idx="5">
                  <c:v>45</c:v>
                </c:pt>
              </c:numCache>
            </c:numRef>
          </c:val>
        </c:ser>
        <c:ser>
          <c:idx val="5"/>
          <c:order val="5"/>
          <c:tx>
            <c:strRef>
              <c:f>'[Диаграма в Microsoft Word]Лист1'!$I$11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Word]Лист1'!$I$12:$I$17</c:f>
              <c:numCache>
                <c:formatCode>General</c:formatCode>
                <c:ptCount val="6"/>
                <c:pt idx="0">
                  <c:v>54</c:v>
                </c:pt>
                <c:pt idx="1">
                  <c:v>54</c:v>
                </c:pt>
                <c:pt idx="2">
                  <c:v>63</c:v>
                </c:pt>
                <c:pt idx="3">
                  <c:v>65</c:v>
                </c:pt>
                <c:pt idx="4">
                  <c:v>66</c:v>
                </c:pt>
                <c:pt idx="5">
                  <c:v>50</c:v>
                </c:pt>
              </c:numCache>
            </c:numRef>
          </c:val>
        </c:ser>
        <c:ser>
          <c:idx val="6"/>
          <c:order val="6"/>
          <c:tx>
            <c:strRef>
              <c:f>'[Диаграма в Microsoft Word]Лист1'!$J$11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'[Диаграма в Microsoft Word]Лист1'!$A$12:$A$17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'[Диаграма в Microsoft Word]Лист1'!$J$12:$J$17</c:f>
              <c:numCache>
                <c:formatCode>General</c:formatCode>
                <c:ptCount val="6"/>
                <c:pt idx="0">
                  <c:v>55</c:v>
                </c:pt>
                <c:pt idx="1">
                  <c:v>56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01504"/>
        <c:axId val="120768192"/>
      </c:barChart>
      <c:catAx>
        <c:axId val="8130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768192"/>
        <c:crosses val="autoZero"/>
        <c:auto val="1"/>
        <c:lblAlgn val="ctr"/>
        <c:lblOffset val="100"/>
        <c:noMultiLvlLbl val="0"/>
      </c:catAx>
      <c:valAx>
        <c:axId val="12076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01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55</c:v>
                </c:pt>
                <c:pt idx="1">
                  <c:v>56</c:v>
                </c:pt>
                <c:pt idx="2">
                  <c:v>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69824"/>
        <c:axId val="120772800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26</c:v>
                </c:pt>
                <c:pt idx="3">
                  <c:v>28</c:v>
                </c:pt>
                <c:pt idx="4">
                  <c:v>27</c:v>
                </c:pt>
                <c:pt idx="5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219</c:v>
                </c:pt>
                <c:pt idx="1">
                  <c:v>262</c:v>
                </c:pt>
                <c:pt idx="2">
                  <c:v>296</c:v>
                </c:pt>
                <c:pt idx="3">
                  <c:v>303</c:v>
                </c:pt>
                <c:pt idx="4">
                  <c:v>215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69824"/>
        <c:axId val="120772800"/>
      </c:lineChart>
      <c:catAx>
        <c:axId val="802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2077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772800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80269824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4344733625854017"/>
          <c:w val="0.93167701863354035"/>
          <c:h val="0.7577453200029385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55</c:v>
                </c:pt>
                <c:pt idx="1">
                  <c:v>56</c:v>
                </c:pt>
                <c:pt idx="2">
                  <c:v>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119</c:v>
                </c:pt>
                <c:pt idx="1">
                  <c:v>108</c:v>
                </c:pt>
                <c:pt idx="2">
                  <c:v>127</c:v>
                </c:pt>
                <c:pt idx="3">
                  <c:v>117</c:v>
                </c:pt>
                <c:pt idx="4">
                  <c:v>0</c:v>
                </c:pt>
                <c:pt idx="5">
                  <c:v>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71360"/>
        <c:axId val="102277120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26</c:v>
                </c:pt>
                <c:pt idx="3">
                  <c:v>28</c:v>
                </c:pt>
                <c:pt idx="4">
                  <c:v>27</c:v>
                </c:pt>
                <c:pt idx="5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219</c:v>
                </c:pt>
                <c:pt idx="1">
                  <c:v>262</c:v>
                </c:pt>
                <c:pt idx="2">
                  <c:v>296</c:v>
                </c:pt>
                <c:pt idx="3">
                  <c:v>303</c:v>
                </c:pt>
                <c:pt idx="4">
                  <c:v>215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71360"/>
        <c:axId val="102277120"/>
      </c:lineChart>
      <c:catAx>
        <c:axId val="8027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02277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277120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80271360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5224630423"/>
          <c:y val="0.14666666666666664"/>
          <c:w val="0.18737055208690689"/>
          <c:h val="0.21475185830778784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020F-4E78-4BCE-8B04-EDED9B0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Tsvetelina Stoicheva</cp:lastModifiedBy>
  <cp:revision>2</cp:revision>
  <cp:lastPrinted>2015-10-30T09:01:00Z</cp:lastPrinted>
  <dcterms:created xsi:type="dcterms:W3CDTF">2018-11-08T14:06:00Z</dcterms:created>
  <dcterms:modified xsi:type="dcterms:W3CDTF">2018-11-08T14:06:00Z</dcterms:modified>
</cp:coreProperties>
</file>