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B33A5D" w:rsidRDefault="00B33A5D" w:rsidP="00B33A5D"/>
    <w:p w:rsidR="00B33A5D" w:rsidRPr="00195C26" w:rsidRDefault="00B33A5D" w:rsidP="00B33A5D"/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P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sz w:val="32"/>
          <w:szCs w:val="32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B33A5D" w:rsidRPr="00757D11" w:rsidRDefault="00B33A5D" w:rsidP="00B33A5D">
      <w:pPr>
        <w:rPr>
          <w:lang w:val="bg-BG"/>
        </w:rPr>
      </w:pP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 качеството на атмосферния въздух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B33A5D" w:rsidRPr="00757D11" w:rsidRDefault="00B33A5D" w:rsidP="00B33A5D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B33A5D" w:rsidRPr="00BE172B" w:rsidRDefault="00B33A5D" w:rsidP="00B33A5D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 xml:space="preserve">по отношение на показател </w:t>
      </w:r>
      <w:r w:rsidR="00BE172B">
        <w:rPr>
          <w:i/>
          <w:sz w:val="32"/>
          <w:szCs w:val="32"/>
          <w:lang w:val="bg-BG"/>
        </w:rPr>
        <w:t>озон – О</w:t>
      </w:r>
      <w:r w:rsidR="00BE172B">
        <w:rPr>
          <w:i/>
          <w:sz w:val="32"/>
          <w:szCs w:val="32"/>
          <w:vertAlign w:val="subscript"/>
          <w:lang w:val="bg-BG"/>
        </w:rPr>
        <w:t>3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летен период</w:t>
      </w:r>
    </w:p>
    <w:p w:rsidR="00B33A5D" w:rsidRPr="00757D11" w:rsidRDefault="00B33A5D" w:rsidP="00B33A5D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Pr="00757D11">
        <w:rPr>
          <w:b/>
          <w:i/>
          <w:sz w:val="32"/>
          <w:szCs w:val="32"/>
        </w:rPr>
        <w:t>04</w:t>
      </w:r>
      <w:r w:rsidRPr="00757D11">
        <w:rPr>
          <w:b/>
          <w:i/>
          <w:sz w:val="32"/>
          <w:szCs w:val="32"/>
          <w:lang w:val="bg-BG"/>
        </w:rPr>
        <w:t>.20</w:t>
      </w:r>
      <w:r w:rsidRPr="00757D11">
        <w:rPr>
          <w:b/>
          <w:i/>
          <w:sz w:val="32"/>
          <w:szCs w:val="32"/>
        </w:rPr>
        <w:t>1</w:t>
      </w:r>
      <w:r w:rsidR="00C2400D">
        <w:rPr>
          <w:b/>
          <w:i/>
          <w:sz w:val="32"/>
          <w:szCs w:val="32"/>
        </w:rPr>
        <w:t>6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.0</w:t>
      </w:r>
      <w:r w:rsidRPr="00757D11">
        <w:rPr>
          <w:b/>
          <w:i/>
          <w:sz w:val="32"/>
          <w:szCs w:val="32"/>
        </w:rPr>
        <w:t>9</w:t>
      </w:r>
      <w:r w:rsidRPr="00757D11">
        <w:rPr>
          <w:b/>
          <w:i/>
          <w:sz w:val="32"/>
          <w:szCs w:val="32"/>
          <w:lang w:val="bg-BG"/>
        </w:rPr>
        <w:t>.201</w:t>
      </w:r>
      <w:r w:rsidR="00C2400D">
        <w:rPr>
          <w:b/>
          <w:i/>
          <w:sz w:val="32"/>
          <w:szCs w:val="32"/>
        </w:rPr>
        <w:t>6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B33A5D" w:rsidRPr="00757D11" w:rsidRDefault="00B33A5D" w:rsidP="00B33A5D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</w:rPr>
      </w:pPr>
    </w:p>
    <w:p w:rsidR="00B33A5D" w:rsidRPr="0025103F" w:rsidRDefault="00B33A5D" w:rsidP="00B33A5D">
      <w:pPr>
        <w:rPr>
          <w:rFonts w:ascii="Verdana" w:hAnsi="Verdana"/>
          <w:sz w:val="24"/>
          <w:szCs w:val="24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707DD8" w:rsidP="00507137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октомври </w:t>
      </w:r>
      <w:r w:rsidR="00BE172B">
        <w:rPr>
          <w:rFonts w:ascii="Verdana" w:hAnsi="Verdana"/>
          <w:sz w:val="24"/>
          <w:szCs w:val="24"/>
          <w:lang w:val="bg-BG"/>
        </w:rPr>
        <w:t>201</w:t>
      </w:r>
      <w:r w:rsidR="00C2400D">
        <w:rPr>
          <w:rFonts w:ascii="Verdana" w:hAnsi="Verdana"/>
          <w:sz w:val="24"/>
          <w:szCs w:val="24"/>
        </w:rPr>
        <w:t>6</w:t>
      </w:r>
      <w:r w:rsidR="00BE172B">
        <w:rPr>
          <w:rFonts w:ascii="Verdana" w:hAnsi="Verdana"/>
          <w:sz w:val="24"/>
          <w:szCs w:val="24"/>
          <w:lang w:val="bg-BG"/>
        </w:rPr>
        <w:t>г.</w:t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Pr="00096AA1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8A3BC3" w:rsidRDefault="00483BD6" w:rsidP="004F0FCB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Съдържание:</w:t>
      </w:r>
    </w:p>
    <w:p w:rsidR="00483BD6" w:rsidRDefault="00483BD6" w:rsidP="004F0FCB">
      <w:pPr>
        <w:tabs>
          <w:tab w:val="center" w:pos="284"/>
          <w:tab w:val="right" w:pos="9072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Въведение ……………………………………………………………………………………………..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Описание на района за докладване ………………………………………………….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Норми ……………………………………………………………………………………………………..4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Пунктове за мониторинг ………………………………………………………………………4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Регистрирани данни 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Анализ на резултатите …………………………………………………………………………7</w:t>
      </w:r>
    </w:p>
    <w:p w:rsidR="004F0FCB" w:rsidRPr="00483BD6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Заключение ……………………………………………………………………………………………8</w:t>
      </w: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P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7951E4" w:rsidRPr="00096AA1" w:rsidRDefault="007951E4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lastRenderedPageBreak/>
        <w:t xml:space="preserve">Докладът се изготвя на основание </w:t>
      </w:r>
      <w:r w:rsidR="00CF630E" w:rsidRPr="00096AA1">
        <w:rPr>
          <w:rFonts w:ascii="Verdana" w:hAnsi="Verdana"/>
          <w:sz w:val="24"/>
          <w:szCs w:val="24"/>
          <w:lang w:val="bg-BG"/>
        </w:rPr>
        <w:t>т. 1</w:t>
      </w:r>
      <w:r w:rsidR="00CF630E" w:rsidRPr="00096AA1">
        <w:rPr>
          <w:rFonts w:ascii="Verdana" w:hAnsi="Verdana"/>
          <w:sz w:val="24"/>
          <w:szCs w:val="24"/>
          <w:lang w:val="ru-RU"/>
        </w:rPr>
        <w:t>1</w:t>
      </w:r>
      <w:r w:rsidR="00CF630E" w:rsidRPr="00096AA1">
        <w:rPr>
          <w:rFonts w:ascii="Verdana" w:hAnsi="Verdana"/>
          <w:sz w:val="24"/>
          <w:szCs w:val="24"/>
          <w:lang w:val="bg-BG"/>
        </w:rPr>
        <w:t xml:space="preserve">.5. от </w:t>
      </w:r>
      <w:r w:rsidR="00096AA1" w:rsidRPr="00E52746">
        <w:rPr>
          <w:rFonts w:ascii="Verdana" w:hAnsi="Verdana"/>
          <w:sz w:val="24"/>
          <w:szCs w:val="24"/>
          <w:lang w:val="bg-BG"/>
        </w:rPr>
        <w:t>Заповед № РД-</w:t>
      </w:r>
      <w:r w:rsidR="00096AA1" w:rsidRPr="00E52746">
        <w:rPr>
          <w:rFonts w:ascii="Verdana" w:hAnsi="Verdana"/>
          <w:sz w:val="24"/>
          <w:szCs w:val="24"/>
        </w:rPr>
        <w:t>66</w:t>
      </w:r>
      <w:r w:rsidR="00096AA1" w:rsidRPr="00E52746">
        <w:rPr>
          <w:rFonts w:ascii="Verdana" w:hAnsi="Verdana"/>
          <w:sz w:val="24"/>
          <w:szCs w:val="24"/>
          <w:lang w:val="bg-BG"/>
        </w:rPr>
        <w:t>/</w:t>
      </w:r>
      <w:r w:rsidR="00096AA1" w:rsidRPr="00E52746">
        <w:rPr>
          <w:rFonts w:ascii="Verdana" w:hAnsi="Verdana"/>
          <w:sz w:val="24"/>
          <w:szCs w:val="24"/>
        </w:rPr>
        <w:t>28</w:t>
      </w:r>
      <w:r w:rsidR="00096AA1" w:rsidRPr="00E52746">
        <w:rPr>
          <w:rFonts w:ascii="Verdana" w:hAnsi="Verdana"/>
          <w:sz w:val="24"/>
          <w:szCs w:val="24"/>
          <w:lang w:val="bg-BG"/>
        </w:rPr>
        <w:t>.</w:t>
      </w:r>
      <w:r w:rsidR="00096AA1" w:rsidRPr="00E52746">
        <w:rPr>
          <w:rFonts w:ascii="Verdana" w:hAnsi="Verdana"/>
          <w:sz w:val="24"/>
          <w:szCs w:val="24"/>
        </w:rPr>
        <w:t>01</w:t>
      </w:r>
      <w:r w:rsidR="00096AA1" w:rsidRPr="00E52746">
        <w:rPr>
          <w:rFonts w:ascii="Verdana" w:hAnsi="Verdana"/>
          <w:sz w:val="24"/>
          <w:szCs w:val="24"/>
          <w:lang w:val="bg-BG"/>
        </w:rPr>
        <w:t>.20</w:t>
      </w:r>
      <w:r w:rsidR="00096AA1" w:rsidRPr="00E52746">
        <w:rPr>
          <w:rFonts w:ascii="Verdana" w:hAnsi="Verdana"/>
          <w:sz w:val="24"/>
          <w:szCs w:val="24"/>
        </w:rPr>
        <w:t>13</w:t>
      </w:r>
      <w:r w:rsidR="00096AA1" w:rsidRPr="00E52746">
        <w:rPr>
          <w:rFonts w:ascii="Verdana" w:hAnsi="Verdana"/>
          <w:sz w:val="24"/>
          <w:szCs w:val="24"/>
          <w:lang w:val="bg-BG"/>
        </w:rPr>
        <w:t xml:space="preserve"> г. </w:t>
      </w:r>
      <w:r w:rsidR="00CF630E" w:rsidRPr="00096AA1">
        <w:rPr>
          <w:rFonts w:ascii="Verdana" w:hAnsi="Verdana"/>
          <w:sz w:val="24"/>
          <w:szCs w:val="24"/>
          <w:lang w:val="bg-BG"/>
        </w:rPr>
        <w:t>на Министъра на околната среда и водите.</w:t>
      </w:r>
      <w:r w:rsidRPr="00096AA1">
        <w:rPr>
          <w:rFonts w:ascii="Verdana" w:hAnsi="Verdana"/>
          <w:sz w:val="24"/>
          <w:szCs w:val="24"/>
          <w:lang w:val="bg-BG"/>
        </w:rPr>
        <w:t>, като целта му е да се направи оценка на регистрираните нива на Озон (О</w:t>
      </w:r>
      <w:r w:rsidRPr="00096AA1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Pr="00096AA1">
        <w:rPr>
          <w:rFonts w:ascii="Verdana" w:hAnsi="Verdana"/>
          <w:sz w:val="24"/>
          <w:szCs w:val="24"/>
          <w:lang w:val="bg-BG"/>
        </w:rPr>
        <w:t xml:space="preserve">), като атмосферен замърсител, за </w:t>
      </w:r>
      <w:r w:rsidR="00AD482A">
        <w:rPr>
          <w:rFonts w:ascii="Verdana" w:hAnsi="Verdana"/>
          <w:sz w:val="24"/>
          <w:szCs w:val="24"/>
          <w:lang w:val="bg-BG"/>
        </w:rPr>
        <w:t>летен</w:t>
      </w:r>
      <w:r w:rsidRPr="00096AA1">
        <w:rPr>
          <w:rFonts w:ascii="Verdana" w:hAnsi="Verdana"/>
          <w:sz w:val="24"/>
          <w:szCs w:val="24"/>
          <w:lang w:val="bg-BG"/>
        </w:rPr>
        <w:t xml:space="preserve">  период - 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01.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04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C2400D">
        <w:rPr>
          <w:rFonts w:ascii="Verdana" w:hAnsi="Verdana"/>
          <w:b/>
          <w:i/>
          <w:sz w:val="24"/>
          <w:szCs w:val="24"/>
        </w:rPr>
        <w:t>6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.0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9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C2400D">
        <w:rPr>
          <w:rFonts w:ascii="Verdana" w:hAnsi="Verdana"/>
          <w:b/>
          <w:i/>
          <w:sz w:val="24"/>
          <w:szCs w:val="24"/>
        </w:rPr>
        <w:t>6</w:t>
      </w:r>
      <w:r w:rsidRPr="00096AA1">
        <w:rPr>
          <w:rFonts w:ascii="Verdana" w:hAnsi="Verdana"/>
          <w:sz w:val="24"/>
          <w:szCs w:val="24"/>
          <w:lang w:val="bg-BG"/>
        </w:rPr>
        <w:t xml:space="preserve"> г.,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превиш</w:t>
      </w:r>
      <w:r w:rsidR="00C6394F" w:rsidRPr="00096AA1">
        <w:rPr>
          <w:rFonts w:ascii="Verdana" w:hAnsi="Verdana"/>
          <w:sz w:val="24"/>
          <w:szCs w:val="24"/>
          <w:lang w:val="bg-BG"/>
        </w:rPr>
        <w:t>ен</w:t>
      </w:r>
      <w:r w:rsidRPr="00096AA1">
        <w:rPr>
          <w:rFonts w:ascii="Verdana" w:hAnsi="Verdana"/>
          <w:sz w:val="24"/>
          <w:szCs w:val="24"/>
          <w:lang w:val="bg-BG"/>
        </w:rPr>
        <w:t>ията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на установените норми</w:t>
      </w:r>
      <w:r w:rsidRPr="00096AA1">
        <w:rPr>
          <w:rFonts w:ascii="Verdana" w:hAnsi="Verdana"/>
          <w:sz w:val="24"/>
          <w:szCs w:val="24"/>
          <w:lang w:val="ru-RU"/>
        </w:rPr>
        <w:t xml:space="preserve"> </w:t>
      </w:r>
      <w:r w:rsidRPr="00096AA1">
        <w:rPr>
          <w:rFonts w:ascii="Verdana" w:hAnsi="Verdana"/>
          <w:sz w:val="24"/>
          <w:szCs w:val="24"/>
          <w:lang w:val="bg-BG"/>
        </w:rPr>
        <w:t>и тенденциите на изменение. За изготвянето са използвани обработени данни от пункт</w:t>
      </w:r>
      <w:r w:rsidR="00352058">
        <w:rPr>
          <w:rFonts w:ascii="Verdana" w:hAnsi="Verdana"/>
          <w:sz w:val="24"/>
          <w:szCs w:val="24"/>
          <w:lang w:val="bg-BG"/>
        </w:rPr>
        <w:t>а</w:t>
      </w:r>
      <w:r w:rsidRPr="00096AA1">
        <w:rPr>
          <w:rFonts w:ascii="Verdana" w:hAnsi="Verdana"/>
          <w:sz w:val="24"/>
          <w:szCs w:val="24"/>
          <w:lang w:val="bg-BG"/>
        </w:rPr>
        <w:t xml:space="preserve"> за мониторинг (ПМ), разположен на територията на РИОСВ – Пловдив</w:t>
      </w:r>
      <w:r w:rsidR="00927E7C">
        <w:rPr>
          <w:rFonts w:ascii="Verdana" w:hAnsi="Verdana"/>
          <w:sz w:val="24"/>
          <w:szCs w:val="24"/>
          <w:lang w:val="bg-BG"/>
        </w:rPr>
        <w:t>.</w:t>
      </w:r>
    </w:p>
    <w:p w:rsidR="007951E4" w:rsidRPr="00096AA1" w:rsidRDefault="00A31BC3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>1</w:t>
      </w:r>
      <w:r>
        <w:rPr>
          <w:rFonts w:ascii="Verdana" w:hAnsi="Verdana"/>
          <w:i/>
          <w:sz w:val="24"/>
          <w:szCs w:val="24"/>
        </w:rPr>
        <w:t xml:space="preserve">. </w:t>
      </w:r>
      <w:r w:rsidR="007951E4" w:rsidRPr="00096AA1">
        <w:rPr>
          <w:rFonts w:ascii="Verdana" w:hAnsi="Verdana"/>
          <w:i/>
          <w:sz w:val="24"/>
          <w:szCs w:val="24"/>
        </w:rPr>
        <w:t>Въведение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газ</w:t>
      </w:r>
      <w:r w:rsidR="00352058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на</w:t>
      </w:r>
      <w:r w:rsidRPr="00096AA1">
        <w:rPr>
          <w:rFonts w:ascii="Verdana" w:hAnsi="Verdana"/>
          <w:sz w:val="24"/>
          <w:szCs w:val="24"/>
          <w:lang w:val="bg-BG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096AA1">
        <w:rPr>
          <w:rFonts w:ascii="Verdana" w:hAnsi="Verdana"/>
          <w:sz w:val="24"/>
          <w:szCs w:val="24"/>
          <w:lang w:val="bg-BG"/>
        </w:rPr>
        <w:t>сители (</w:t>
      </w:r>
      <w:proofErr w:type="spellStart"/>
      <w:r w:rsidR="006A6FD7" w:rsidRPr="00096AA1">
        <w:rPr>
          <w:rFonts w:ascii="Verdana" w:hAnsi="Verdana"/>
          <w:sz w:val="24"/>
          <w:szCs w:val="24"/>
          <w:lang w:val="bg-BG"/>
        </w:rPr>
        <w:t>прекурсори</w:t>
      </w:r>
      <w:proofErr w:type="spellEnd"/>
      <w:r w:rsidR="006A6FD7" w:rsidRPr="00096AA1">
        <w:rPr>
          <w:rFonts w:ascii="Verdana" w:hAnsi="Verdana"/>
          <w:sz w:val="24"/>
          <w:szCs w:val="24"/>
          <w:lang w:val="bg-BG"/>
        </w:rPr>
        <w:t>)</w:t>
      </w:r>
      <w:r w:rsidR="004D4A5B" w:rsidRPr="00096AA1">
        <w:rPr>
          <w:rFonts w:ascii="Verdana" w:hAnsi="Verdana"/>
          <w:sz w:val="24"/>
          <w:szCs w:val="24"/>
          <w:lang w:val="bg-BG"/>
        </w:rPr>
        <w:t>,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като азотни </w:t>
      </w:r>
      <w:r w:rsidRPr="00096AA1">
        <w:rPr>
          <w:rFonts w:ascii="Verdana" w:hAnsi="Verdana"/>
          <w:sz w:val="24"/>
          <w:szCs w:val="24"/>
          <w:lang w:val="bg-BG"/>
        </w:rPr>
        <w:t>оксиди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vertAlign w:val="subscript"/>
        </w:rPr>
        <w:t>X</w:t>
      </w:r>
      <w:r w:rsidRPr="00096AA1">
        <w:rPr>
          <w:rFonts w:ascii="Verdana" w:hAnsi="Verdana"/>
          <w:sz w:val="24"/>
          <w:szCs w:val="24"/>
          <w:lang w:val="bg-BG"/>
        </w:rPr>
        <w:t>), въглероден оксид (</w:t>
      </w:r>
      <w:r w:rsidRPr="00096AA1">
        <w:rPr>
          <w:rFonts w:ascii="Verdana" w:hAnsi="Verdana"/>
          <w:sz w:val="24"/>
          <w:szCs w:val="24"/>
        </w:rPr>
        <w:t>CO</w:t>
      </w:r>
      <w:r w:rsidRPr="00096AA1">
        <w:rPr>
          <w:rFonts w:ascii="Verdana" w:hAnsi="Verdana"/>
          <w:sz w:val="24"/>
          <w:szCs w:val="24"/>
          <w:lang w:val="bg-BG"/>
        </w:rPr>
        <w:t xml:space="preserve">), въглеводороди и летливи органични съединения (ЛОС), съдържащи се в изпускани 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отпадъчни </w:t>
      </w:r>
      <w:r w:rsidRPr="00096AA1">
        <w:rPr>
          <w:rFonts w:ascii="Verdana" w:hAnsi="Verdana"/>
          <w:sz w:val="24"/>
          <w:szCs w:val="24"/>
          <w:lang w:val="bg-BG"/>
        </w:rPr>
        <w:t>газове. Този озон (вторичен замърсител) се добавя към озона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атмосферата. 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 източници на замърсители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се наблюдават вторични реакции на разпадане при взаимодействия с азотния оксид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lang w:val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096AA1" w:rsidRDefault="00D30655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</w:p>
    <w:p w:rsidR="008A3BC3" w:rsidRPr="00096AA1" w:rsidRDefault="00A31BC3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2. </w:t>
      </w:r>
      <w:r w:rsidR="008A3BC3" w:rsidRPr="00096AA1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A31BC3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Този доклад обхваща </w:t>
      </w:r>
      <w:r w:rsidR="00096AA1">
        <w:rPr>
          <w:rFonts w:ascii="Verdana" w:hAnsi="Verdana"/>
          <w:sz w:val="24"/>
          <w:szCs w:val="24"/>
          <w:lang w:val="bg-BG"/>
        </w:rPr>
        <w:t xml:space="preserve">РОУКАВ </w:t>
      </w:r>
      <w:r w:rsidR="004C32DC" w:rsidRPr="00096AA1">
        <w:rPr>
          <w:rFonts w:ascii="Verdana" w:hAnsi="Verdana"/>
          <w:sz w:val="24"/>
          <w:szCs w:val="24"/>
          <w:lang w:val="bg-BG"/>
        </w:rPr>
        <w:t>Агломерация Пловдив</w:t>
      </w:r>
      <w:r w:rsidRPr="00096AA1">
        <w:rPr>
          <w:rFonts w:ascii="Verdana" w:hAnsi="Verdana"/>
          <w:sz w:val="24"/>
          <w:szCs w:val="24"/>
          <w:lang w:val="bg-BG"/>
        </w:rPr>
        <w:t xml:space="preserve">, </w:t>
      </w:r>
      <w:r w:rsidR="007951E4" w:rsidRPr="00096AA1">
        <w:rPr>
          <w:rFonts w:ascii="Verdana" w:hAnsi="Verdana"/>
          <w:sz w:val="24"/>
          <w:szCs w:val="24"/>
          <w:lang w:val="bg-BG"/>
        </w:rPr>
        <w:t>попадащ в</w:t>
      </w:r>
      <w:r w:rsidRPr="00096AA1">
        <w:rPr>
          <w:rFonts w:ascii="Verdana" w:hAnsi="Verdana"/>
          <w:sz w:val="24"/>
          <w:szCs w:val="24"/>
          <w:lang w:val="bg-BG"/>
        </w:rPr>
        <w:t xml:space="preserve"> територи</w:t>
      </w:r>
      <w:r w:rsidR="007951E4" w:rsidRPr="00096AA1">
        <w:rPr>
          <w:rFonts w:ascii="Verdana" w:hAnsi="Verdana"/>
          <w:sz w:val="24"/>
          <w:szCs w:val="24"/>
          <w:lang w:val="bg-BG"/>
        </w:rPr>
        <w:t>алния обхва</w:t>
      </w:r>
      <w:r w:rsidR="002F5A77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2F5A77" w:rsidRPr="00E52746" w:rsidRDefault="002F5A77" w:rsidP="002F5A77">
      <w:pPr>
        <w:pStyle w:val="a6"/>
        <w:rPr>
          <w:rFonts w:ascii="Verdana" w:hAnsi="Verdana"/>
          <w:color w:val="FF0000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Районът заема централната част на Горно-тракийската низина. </w:t>
      </w:r>
      <w:r>
        <w:rPr>
          <w:rFonts w:ascii="Verdana" w:hAnsi="Verdana"/>
          <w:sz w:val="24"/>
          <w:szCs w:val="24"/>
          <w:lang w:val="bg-BG"/>
        </w:rPr>
        <w:t xml:space="preserve">Релефът </w:t>
      </w:r>
      <w:r w:rsidRPr="00E52746">
        <w:rPr>
          <w:rFonts w:ascii="Verdana" w:hAnsi="Verdana"/>
          <w:sz w:val="24"/>
          <w:szCs w:val="24"/>
          <w:lang w:val="bg-BG"/>
        </w:rPr>
        <w:t>е предимно равнинен</w:t>
      </w:r>
      <w:r>
        <w:rPr>
          <w:rFonts w:ascii="Verdana" w:hAnsi="Verdana"/>
          <w:sz w:val="24"/>
          <w:szCs w:val="24"/>
          <w:lang w:val="bg-BG"/>
        </w:rPr>
        <w:t xml:space="preserve"> и с възвишения, оформящи дъга по границата с Родопите, прорязана с долини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Pr="00E52746">
        <w:rPr>
          <w:lang w:val="bg-BG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Климатът е преходно-континентален с умерени валежи и продължителни летни засушавания.</w:t>
      </w:r>
      <w:r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 и относително високата влажност на въздуха</w:t>
      </w:r>
      <w:r>
        <w:rPr>
          <w:rFonts w:ascii="Verdana" w:hAnsi="Verdana"/>
          <w:sz w:val="24"/>
          <w:szCs w:val="24"/>
          <w:lang w:val="bg-BG"/>
        </w:rPr>
        <w:t xml:space="preserve"> през </w:t>
      </w:r>
      <w:r w:rsidR="00BE172B">
        <w:rPr>
          <w:rFonts w:ascii="Verdana" w:hAnsi="Verdana"/>
          <w:sz w:val="24"/>
          <w:szCs w:val="24"/>
          <w:lang w:val="bg-BG"/>
        </w:rPr>
        <w:t>летния</w:t>
      </w:r>
      <w:r>
        <w:rPr>
          <w:rFonts w:ascii="Verdana" w:hAnsi="Verdana"/>
          <w:sz w:val="24"/>
          <w:szCs w:val="24"/>
          <w:lang w:val="bg-BG"/>
        </w:rPr>
        <w:t xml:space="preserve"> период</w:t>
      </w:r>
      <w:r w:rsidRPr="00E52746">
        <w:rPr>
          <w:rFonts w:ascii="Verdana" w:hAnsi="Verdana"/>
          <w:sz w:val="24"/>
          <w:szCs w:val="24"/>
          <w:lang w:val="bg-BG"/>
        </w:rPr>
        <w:t xml:space="preserve">. </w:t>
      </w:r>
      <w:r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096AA1">
      <w:pPr>
        <w:pStyle w:val="21"/>
        <w:jc w:val="both"/>
        <w:rPr>
          <w:rFonts w:ascii="Verdana" w:hAnsi="Verdana"/>
          <w:sz w:val="24"/>
          <w:szCs w:val="24"/>
        </w:rPr>
      </w:pPr>
      <w:r w:rsidRPr="00096AA1">
        <w:rPr>
          <w:rFonts w:ascii="Verdana" w:hAnsi="Verdana"/>
          <w:sz w:val="24"/>
          <w:szCs w:val="24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локални </w:t>
      </w:r>
      <w:proofErr w:type="spellStart"/>
      <w:r w:rsidRPr="00096AA1">
        <w:rPr>
          <w:rFonts w:ascii="Verdana" w:hAnsi="Verdana"/>
          <w:sz w:val="24"/>
          <w:szCs w:val="24"/>
        </w:rPr>
        <w:t>парови</w:t>
      </w:r>
      <w:proofErr w:type="spellEnd"/>
      <w:r w:rsidRPr="00096AA1">
        <w:rPr>
          <w:rFonts w:ascii="Verdana" w:hAnsi="Verdana"/>
          <w:sz w:val="24"/>
          <w:szCs w:val="24"/>
        </w:rPr>
        <w:t xml:space="preserve"> централи  („Каменица” АД, „</w:t>
      </w:r>
      <w:proofErr w:type="spellStart"/>
      <w:r w:rsidR="00FE59B4" w:rsidRPr="00096AA1">
        <w:rPr>
          <w:rFonts w:ascii="Verdana" w:hAnsi="Verdana"/>
          <w:sz w:val="24"/>
          <w:szCs w:val="24"/>
        </w:rPr>
        <w:t>Филикон</w:t>
      </w:r>
      <w:proofErr w:type="spellEnd"/>
      <w:r w:rsidR="005277F6" w:rsidRPr="00096AA1">
        <w:rPr>
          <w:rFonts w:ascii="Verdana" w:hAnsi="Verdana"/>
          <w:sz w:val="24"/>
          <w:szCs w:val="24"/>
        </w:rPr>
        <w:t>” АД</w:t>
      </w:r>
      <w:r w:rsidR="00FE59B4" w:rsidRPr="00096AA1">
        <w:rPr>
          <w:rFonts w:ascii="Verdana" w:hAnsi="Verdana"/>
          <w:sz w:val="24"/>
          <w:szCs w:val="24"/>
        </w:rPr>
        <w:t>, „ЗК Пловдив</w:t>
      </w:r>
      <w:r w:rsidRPr="00096AA1">
        <w:rPr>
          <w:rFonts w:ascii="Verdana" w:hAnsi="Verdana"/>
          <w:sz w:val="24"/>
          <w:szCs w:val="24"/>
        </w:rPr>
        <w:t>” АД, „Дружба” АД, и др.), големи индустриални източници („ТЕЦ-Север”, „ОЦ-Юг”, „Дружба</w:t>
      </w:r>
      <w:r w:rsidR="006A6FD7" w:rsidRPr="00096AA1">
        <w:rPr>
          <w:rFonts w:ascii="Verdana" w:hAnsi="Verdana"/>
          <w:sz w:val="24"/>
          <w:szCs w:val="24"/>
        </w:rPr>
        <w:t xml:space="preserve"> Стъкларски заводи</w:t>
      </w:r>
      <w:r w:rsidRPr="00096AA1">
        <w:rPr>
          <w:rFonts w:ascii="Verdana" w:hAnsi="Verdana"/>
          <w:sz w:val="24"/>
          <w:szCs w:val="24"/>
        </w:rPr>
        <w:t>”</w:t>
      </w:r>
      <w:r w:rsidR="00B24E54">
        <w:rPr>
          <w:rFonts w:ascii="Verdana" w:hAnsi="Verdana"/>
          <w:sz w:val="24"/>
          <w:szCs w:val="24"/>
          <w:lang w:val="en-US"/>
        </w:rPr>
        <w:t xml:space="preserve"> </w:t>
      </w:r>
      <w:r w:rsidR="00B24E54">
        <w:rPr>
          <w:rFonts w:ascii="Verdana" w:hAnsi="Verdana"/>
          <w:sz w:val="24"/>
          <w:szCs w:val="24"/>
        </w:rPr>
        <w:t>АД</w:t>
      </w:r>
      <w:r w:rsidR="006A6FD7" w:rsidRPr="00096AA1">
        <w:rPr>
          <w:rFonts w:ascii="Verdana" w:hAnsi="Verdana"/>
          <w:sz w:val="24"/>
          <w:szCs w:val="24"/>
        </w:rPr>
        <w:t>, „АГРИЯ”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>, “КЦМ”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 и др.).</w:t>
      </w:r>
    </w:p>
    <w:p w:rsidR="006A6FD7" w:rsidRPr="00096AA1" w:rsidRDefault="006A6FD7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8A3BC3" w:rsidRPr="00096AA1" w:rsidRDefault="00731B60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3. </w:t>
      </w:r>
      <w:r w:rsidR="008A3BC3" w:rsidRPr="00096AA1">
        <w:rPr>
          <w:rFonts w:ascii="Verdana" w:hAnsi="Verdana"/>
          <w:i/>
          <w:sz w:val="24"/>
          <w:szCs w:val="24"/>
        </w:rPr>
        <w:t>Норми</w:t>
      </w:r>
    </w:p>
    <w:p w:rsidR="008A3BC3" w:rsidRPr="00096AA1" w:rsidRDefault="008A3BC3" w:rsidP="004C32DC">
      <w:pPr>
        <w:pStyle w:val="ac"/>
        <w:ind w:firstLine="567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Нормите за съдържание на озон в атмосферния въздух, които следва да бъдат достигнати и поддържани, както и критериите за оценка на нивата на озон</w:t>
      </w:r>
      <w:r w:rsidR="00B24E54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са дефинирани в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Наредба № 12/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>15.07.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2010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за норми за серен диоксид, азотен диоксид, фини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прахови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частици, олово,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бензен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>, въглероден оксид и озон в атмосферния въздух (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обн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. </w:t>
      </w:r>
      <w:r w:rsidR="008E4723" w:rsidRPr="00096AA1">
        <w:rPr>
          <w:rFonts w:ascii="Verdana" w:hAnsi="Verdana"/>
          <w:i/>
          <w:sz w:val="24"/>
          <w:szCs w:val="24"/>
          <w:lang w:val="bg-BG"/>
        </w:rPr>
        <w:t>в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ДВ бр. 58/30.07.2010 г.)</w:t>
      </w:r>
      <w:r w:rsidR="00CF630E" w:rsidRPr="00096AA1">
        <w:rPr>
          <w:rFonts w:ascii="Verdana" w:hAnsi="Verdana"/>
          <w:i/>
          <w:sz w:val="24"/>
          <w:szCs w:val="24"/>
          <w:lang w:val="bg-BG"/>
        </w:rPr>
        <w:t>.</w:t>
      </w:r>
    </w:p>
    <w:p w:rsidR="008A3BC3" w:rsidRDefault="008A3BC3" w:rsidP="008A3BC3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456"/>
        <w:gridCol w:w="3009"/>
      </w:tblGrid>
      <w:tr w:rsidR="008A3BC3" w:rsidRPr="008C4A7B">
        <w:tc>
          <w:tcPr>
            <w:tcW w:w="225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</w:p>
        </w:tc>
      </w:tr>
      <w:tr w:rsidR="005277F6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Краткосрочна целева норма</w:t>
            </w:r>
            <w:r w:rsidR="004464DC" w:rsidRPr="00096AA1">
              <w:rPr>
                <w:rFonts w:ascii="Verdana" w:hAnsi="Verdana"/>
                <w:lang w:val="bg-BG"/>
              </w:rPr>
              <w:t xml:space="preserve"> за опазване на човешкото здраве</w:t>
            </w:r>
          </w:p>
          <w:p w:rsidR="004464DC" w:rsidRPr="00096AA1" w:rsidRDefault="004464DC" w:rsidP="002F5A77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                                                            (Нар.№12,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Pr="00096AA1">
              <w:rPr>
                <w:rFonts w:ascii="Verdana" w:hAnsi="Verdana"/>
                <w:lang w:val="bg-BG"/>
              </w:rPr>
              <w:t>.3)</w:t>
            </w:r>
          </w:p>
          <w:p w:rsidR="004464DC" w:rsidRPr="00096AA1" w:rsidRDefault="004464DC" w:rsidP="00FD720E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096AA1" w:rsidRDefault="005277F6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120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- Максимална осемчасова </w:t>
            </w:r>
            <w:r w:rsidR="004464DC" w:rsidRPr="00096AA1">
              <w:rPr>
                <w:rFonts w:ascii="Verdana" w:hAnsi="Verdana"/>
                <w:lang w:val="bg-BG"/>
              </w:rPr>
              <w:t xml:space="preserve"> средна </w:t>
            </w:r>
            <w:r w:rsidRPr="00096AA1">
              <w:rPr>
                <w:rFonts w:ascii="Verdana" w:hAnsi="Verdana"/>
                <w:lang w:val="bg-BG"/>
              </w:rPr>
              <w:t>стойност в рамките на денонощието</w:t>
            </w:r>
            <w:r w:rsidR="00C57829" w:rsidRPr="00096AA1">
              <w:rPr>
                <w:rFonts w:ascii="Verdana" w:hAnsi="Verdana"/>
                <w:lang w:val="bg-BG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информиране на населението (ПИН)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180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BE172B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в 3 последователни часа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предупреждаване на населението (ППН)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 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240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    в 3 последователни часа</w:t>
            </w:r>
          </w:p>
        </w:tc>
      </w:tr>
    </w:tbl>
    <w:p w:rsidR="00BE172B" w:rsidRDefault="00BE172B" w:rsidP="004C32DC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3520E0" w:rsidP="004C32DC">
      <w:pPr>
        <w:pStyle w:val="ac"/>
        <w:ind w:firstLine="567"/>
        <w:jc w:val="both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определяне на средногодишната стойност се изисква минимум валидни данни - 75 % от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средночасовите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стойности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(т.е. 45 минути), за 8-часовите стойности – 75%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от стойностите (т.е. 6 часа) </w:t>
      </w:r>
      <w:r w:rsidRPr="00096AA1">
        <w:rPr>
          <w:rFonts w:ascii="Verdana" w:hAnsi="Verdana"/>
          <w:sz w:val="24"/>
          <w:szCs w:val="24"/>
          <w:lang w:val="bg-BG"/>
        </w:rPr>
        <w:t>(</w:t>
      </w:r>
      <w:r w:rsidRPr="00096AA1">
        <w:rPr>
          <w:rFonts w:ascii="Verdana" w:hAnsi="Verdana"/>
          <w:i/>
          <w:sz w:val="24"/>
          <w:szCs w:val="24"/>
          <w:lang w:val="bg-BG"/>
        </w:rPr>
        <w:t>приложение №3 от Наредба № 12/2010 г.)</w:t>
      </w:r>
      <w:r w:rsidR="00927E7C">
        <w:rPr>
          <w:rFonts w:ascii="Verdana" w:hAnsi="Verdana"/>
          <w:i/>
          <w:sz w:val="24"/>
          <w:szCs w:val="24"/>
          <w:lang w:val="bg-BG"/>
        </w:rPr>
        <w:t>.</w:t>
      </w:r>
    </w:p>
    <w:p w:rsidR="0068331F" w:rsidRPr="00096AA1" w:rsidRDefault="0068331F" w:rsidP="0068331F">
      <w:pPr>
        <w:pStyle w:val="ac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4. </w:t>
      </w:r>
      <w:r w:rsidR="008A3BC3" w:rsidRPr="00096AA1">
        <w:rPr>
          <w:rFonts w:ascii="Verdana" w:hAnsi="Verdana"/>
          <w:i/>
          <w:sz w:val="24"/>
          <w:szCs w:val="24"/>
        </w:rPr>
        <w:t xml:space="preserve">Пунктове за мониторинг 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096AA1">
        <w:rPr>
          <w:rFonts w:ascii="Verdana" w:hAnsi="Verdana"/>
          <w:sz w:val="24"/>
          <w:szCs w:val="24"/>
          <w:lang w:val="ru-RU"/>
        </w:rPr>
        <w:t xml:space="preserve">на </w:t>
      </w:r>
      <w:r w:rsidRPr="00096AA1">
        <w:rPr>
          <w:rFonts w:ascii="Verdana" w:hAnsi="Verdana"/>
          <w:sz w:val="24"/>
          <w:szCs w:val="24"/>
          <w:lang w:val="bg-BG"/>
        </w:rPr>
        <w:t xml:space="preserve">атмосферния въздух </w:t>
      </w:r>
      <w:r w:rsidR="00D30655" w:rsidRPr="00096AA1">
        <w:rPr>
          <w:rFonts w:ascii="Verdana" w:hAnsi="Verdana"/>
          <w:sz w:val="24"/>
          <w:szCs w:val="24"/>
          <w:lang w:val="bg-BG"/>
        </w:rPr>
        <w:t>–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0655" w:rsidRPr="00096AA1">
        <w:rPr>
          <w:rFonts w:ascii="Verdana" w:hAnsi="Verdana"/>
          <w:b/>
          <w:sz w:val="24"/>
          <w:szCs w:val="24"/>
          <w:lang w:val="bg-BG"/>
        </w:rPr>
        <w:t>АИС</w:t>
      </w:r>
      <w:r w:rsidR="00D30655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7E5DD3">
        <w:rPr>
          <w:rFonts w:ascii="Verdana" w:hAnsi="Verdana"/>
          <w:sz w:val="24"/>
          <w:szCs w:val="24"/>
          <w:lang w:val="bg-BG"/>
        </w:rPr>
        <w:t>„</w:t>
      </w:r>
      <w:r w:rsidR="00123477" w:rsidRPr="00096AA1">
        <w:rPr>
          <w:rFonts w:ascii="Verdana" w:hAnsi="Verdana"/>
          <w:b/>
          <w:sz w:val="24"/>
          <w:szCs w:val="24"/>
          <w:lang w:val="bg-BG"/>
        </w:rPr>
        <w:t>Каменица</w:t>
      </w:r>
      <w:r w:rsidR="007E5DD3">
        <w:rPr>
          <w:rFonts w:ascii="Verdana" w:hAnsi="Verdana"/>
          <w:b/>
          <w:sz w:val="24"/>
          <w:szCs w:val="24"/>
          <w:lang w:val="bg-BG"/>
        </w:rPr>
        <w:t>”</w:t>
      </w:r>
      <w:r w:rsidRPr="00096AA1">
        <w:rPr>
          <w:rFonts w:ascii="Verdana" w:hAnsi="Verdana"/>
          <w:sz w:val="24"/>
          <w:szCs w:val="24"/>
          <w:lang w:val="bg-BG"/>
        </w:rPr>
        <w:t>. Разположен е в централна градска част</w:t>
      </w:r>
      <w:r w:rsidR="00FE59B4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 в зона с предимно жилищни сгради и незначителен автомобилен трафик. Съгласно критериите</w:t>
      </w:r>
      <w:r w:rsidR="00123477" w:rsidRPr="00096AA1">
        <w:rPr>
          <w:rFonts w:ascii="Verdana" w:hAnsi="Verdana"/>
          <w:sz w:val="24"/>
          <w:szCs w:val="24"/>
          <w:lang w:val="bg-BG"/>
        </w:rPr>
        <w:t xml:space="preserve"> в приложение 12</w:t>
      </w:r>
      <w:r w:rsidRPr="00096AA1">
        <w:rPr>
          <w:rFonts w:ascii="Verdana" w:hAnsi="Verdana"/>
          <w:sz w:val="24"/>
          <w:szCs w:val="24"/>
          <w:lang w:val="bg-BG"/>
        </w:rPr>
        <w:t xml:space="preserve"> на Наредба №</w:t>
      </w:r>
      <w:r w:rsidR="00123477" w:rsidRPr="00096AA1">
        <w:rPr>
          <w:rFonts w:ascii="Verdana" w:hAnsi="Verdana"/>
          <w:sz w:val="24"/>
          <w:szCs w:val="24"/>
          <w:lang w:val="bg-BG"/>
        </w:rPr>
        <w:t xml:space="preserve"> 12 (ДВ, бр. 58</w:t>
      </w:r>
      <w:r w:rsidRPr="00096AA1">
        <w:rPr>
          <w:rFonts w:ascii="Verdana" w:hAnsi="Verdana"/>
          <w:sz w:val="24"/>
          <w:szCs w:val="24"/>
          <w:lang w:val="bg-BG"/>
        </w:rPr>
        <w:t xml:space="preserve"> от 3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Pr="00096AA1">
        <w:rPr>
          <w:rFonts w:ascii="Verdana" w:hAnsi="Verdana"/>
          <w:sz w:val="24"/>
          <w:szCs w:val="24"/>
          <w:lang w:val="bg-BG"/>
        </w:rPr>
        <w:t>.07.20</w:t>
      </w:r>
      <w:r w:rsidR="00123477" w:rsidRPr="00096AA1">
        <w:rPr>
          <w:rFonts w:ascii="Verdana" w:hAnsi="Verdana"/>
          <w:sz w:val="24"/>
          <w:szCs w:val="24"/>
          <w:lang w:val="bg-BG"/>
        </w:rPr>
        <w:t>10</w:t>
      </w:r>
      <w:r w:rsidRPr="00096AA1">
        <w:rPr>
          <w:rFonts w:ascii="Verdana" w:hAnsi="Verdana"/>
          <w:sz w:val="24"/>
          <w:szCs w:val="24"/>
          <w:lang w:val="bg-BG"/>
        </w:rPr>
        <w:t xml:space="preserve"> г.) същия се класифицира като „градски фонов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пункт</w:t>
      </w:r>
      <w:r w:rsidRPr="00096AA1">
        <w:rPr>
          <w:rFonts w:ascii="Verdana" w:hAnsi="Verdana"/>
          <w:sz w:val="24"/>
          <w:szCs w:val="24"/>
          <w:lang w:val="bg-BG"/>
        </w:rPr>
        <w:t>”.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Пунктът е автоматичен и се обслужва от РЛ – Пловдив (ИАОС към МОСВ).  Точката на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пробовземане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096AA1">
          <w:rPr>
            <w:rFonts w:ascii="Verdana" w:hAnsi="Verdana"/>
            <w:sz w:val="24"/>
            <w:szCs w:val="24"/>
            <w:lang w:val="bg-BG"/>
          </w:rPr>
          <w:t>3 м</w:t>
        </w:r>
      </w:smartTag>
      <w:r w:rsidRPr="00096AA1">
        <w:rPr>
          <w:rFonts w:ascii="Verdana" w:hAnsi="Verdana"/>
          <w:sz w:val="24"/>
          <w:szCs w:val="24"/>
          <w:lang w:val="bg-BG"/>
        </w:rPr>
        <w:t xml:space="preserve"> от нивото на терена. </w:t>
      </w:r>
    </w:p>
    <w:p w:rsidR="0068331F" w:rsidRPr="00096AA1" w:rsidRDefault="0068331F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2E1BE9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5. </w:t>
      </w:r>
      <w:r w:rsidR="002E1BE9" w:rsidRPr="00096AA1">
        <w:rPr>
          <w:rFonts w:ascii="Verdana" w:hAnsi="Verdana"/>
          <w:i/>
          <w:sz w:val="24"/>
          <w:szCs w:val="24"/>
        </w:rPr>
        <w:t>Регистрирани нива.</w:t>
      </w:r>
    </w:p>
    <w:p w:rsidR="00080236" w:rsidRDefault="00B45534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Предвид оценката на нивата на озон за фиксиран период - </w:t>
      </w:r>
      <w:r w:rsidR="00665FD7">
        <w:rPr>
          <w:rFonts w:ascii="Verdana" w:hAnsi="Verdana"/>
          <w:sz w:val="24"/>
          <w:szCs w:val="24"/>
          <w:lang w:val="bg-BG"/>
        </w:rPr>
        <w:t>летен</w:t>
      </w:r>
      <w:r w:rsidRPr="00096AA1">
        <w:rPr>
          <w:rFonts w:ascii="Verdana" w:hAnsi="Verdana"/>
          <w:sz w:val="24"/>
          <w:szCs w:val="24"/>
          <w:lang w:val="bg-BG"/>
        </w:rPr>
        <w:t xml:space="preserve">, са разглеждани стойности от измервания извършени през периода от 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1.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="00080236">
        <w:rPr>
          <w:rFonts w:ascii="Verdana" w:hAnsi="Verdana"/>
          <w:sz w:val="24"/>
          <w:szCs w:val="24"/>
          <w:lang w:val="bg-BG"/>
        </w:rPr>
        <w:t>4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FE59B4" w:rsidRPr="00096AA1">
        <w:rPr>
          <w:rFonts w:ascii="Verdana" w:hAnsi="Verdana"/>
          <w:sz w:val="24"/>
          <w:szCs w:val="24"/>
          <w:lang w:val="bg-BG"/>
        </w:rPr>
        <w:t>1</w:t>
      </w:r>
      <w:r w:rsidR="00C2400D">
        <w:rPr>
          <w:rFonts w:ascii="Verdana" w:hAnsi="Verdana"/>
          <w:sz w:val="24"/>
          <w:szCs w:val="24"/>
        </w:rPr>
        <w:t>6</w:t>
      </w:r>
      <w:r w:rsidR="00080236">
        <w:rPr>
          <w:rFonts w:ascii="Verdana" w:hAnsi="Verdana"/>
          <w:sz w:val="24"/>
          <w:szCs w:val="24"/>
          <w:lang w:val="bg-BG"/>
        </w:rPr>
        <w:t xml:space="preserve"> </w:t>
      </w:r>
      <w:r w:rsidR="00AE1B4E" w:rsidRPr="00096AA1">
        <w:rPr>
          <w:rFonts w:ascii="Verdana" w:hAnsi="Verdana"/>
          <w:sz w:val="24"/>
          <w:szCs w:val="24"/>
          <w:lang w:val="bg-BG"/>
        </w:rPr>
        <w:t>÷ 3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.0</w:t>
      </w:r>
      <w:r w:rsidR="00080236">
        <w:rPr>
          <w:rFonts w:ascii="Verdana" w:hAnsi="Verdana"/>
          <w:sz w:val="24"/>
          <w:szCs w:val="24"/>
          <w:lang w:val="bg-BG"/>
        </w:rPr>
        <w:t>9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5277F6" w:rsidRPr="00096AA1">
        <w:rPr>
          <w:rFonts w:ascii="Verdana" w:hAnsi="Verdana"/>
          <w:sz w:val="24"/>
          <w:szCs w:val="24"/>
          <w:lang w:val="bg-BG"/>
        </w:rPr>
        <w:t>1</w:t>
      </w:r>
      <w:r w:rsidR="00C2400D">
        <w:rPr>
          <w:rFonts w:ascii="Verdana" w:hAnsi="Verdana"/>
          <w:sz w:val="24"/>
          <w:szCs w:val="24"/>
        </w:rPr>
        <w:t>6</w:t>
      </w:r>
      <w:r w:rsidR="00246DFC">
        <w:rPr>
          <w:rFonts w:ascii="Verdana" w:hAnsi="Verdana"/>
          <w:sz w:val="24"/>
          <w:szCs w:val="24"/>
          <w:lang w:val="bg-BG"/>
        </w:rPr>
        <w:t xml:space="preserve"> </w:t>
      </w:r>
      <w:r w:rsidR="008A3BC3" w:rsidRPr="00096AA1">
        <w:rPr>
          <w:rFonts w:ascii="Verdana" w:hAnsi="Verdana"/>
          <w:sz w:val="24"/>
          <w:szCs w:val="24"/>
          <w:lang w:val="bg-BG"/>
        </w:rPr>
        <w:t>г</w:t>
      </w:r>
      <w:r w:rsidR="00AE1B4E" w:rsidRPr="00096AA1">
        <w:rPr>
          <w:rFonts w:ascii="Verdana" w:hAnsi="Verdana"/>
          <w:sz w:val="24"/>
          <w:szCs w:val="24"/>
          <w:lang w:val="bg-BG"/>
        </w:rPr>
        <w:t>.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2E1BE9" w:rsidRPr="00096AA1" w:rsidRDefault="002E1BE9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За проследяване на тенденциите са използвани данни от аналогичн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предходн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период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съответно </w:t>
      </w:r>
      <w:r w:rsidR="00652858">
        <w:rPr>
          <w:rFonts w:ascii="Verdana" w:hAnsi="Verdana"/>
          <w:sz w:val="24"/>
          <w:szCs w:val="24"/>
          <w:lang w:val="bg-BG"/>
        </w:rPr>
        <w:t>за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>2011</w:t>
      </w:r>
      <w:r w:rsidR="00246DFC">
        <w:rPr>
          <w:rFonts w:ascii="Verdana" w:hAnsi="Verdana"/>
          <w:sz w:val="24"/>
          <w:szCs w:val="24"/>
          <w:lang w:val="bg-BG"/>
        </w:rPr>
        <w:t xml:space="preserve">, </w:t>
      </w:r>
      <w:r w:rsidR="00D34E48">
        <w:rPr>
          <w:rFonts w:ascii="Verdana" w:hAnsi="Verdana"/>
          <w:sz w:val="24"/>
          <w:szCs w:val="24"/>
          <w:lang w:val="bg-BG"/>
        </w:rPr>
        <w:t>2012</w:t>
      </w:r>
      <w:r w:rsidR="00D34E48">
        <w:rPr>
          <w:rFonts w:ascii="Verdana" w:hAnsi="Verdana"/>
          <w:sz w:val="24"/>
          <w:szCs w:val="24"/>
        </w:rPr>
        <w:t xml:space="preserve">, </w:t>
      </w:r>
      <w:r w:rsidR="00246DFC">
        <w:rPr>
          <w:rFonts w:ascii="Verdana" w:hAnsi="Verdana"/>
          <w:sz w:val="24"/>
          <w:szCs w:val="24"/>
          <w:lang w:val="bg-BG"/>
        </w:rPr>
        <w:t>2013</w:t>
      </w:r>
      <w:r w:rsidR="00927E7C">
        <w:rPr>
          <w:rFonts w:ascii="Verdana" w:hAnsi="Verdana"/>
          <w:sz w:val="24"/>
          <w:szCs w:val="24"/>
          <w:lang w:val="bg-BG"/>
        </w:rPr>
        <w:t>,</w:t>
      </w:r>
      <w:r w:rsidR="00D34E48">
        <w:rPr>
          <w:rFonts w:ascii="Verdana" w:hAnsi="Verdana"/>
          <w:sz w:val="24"/>
          <w:szCs w:val="24"/>
          <w:lang w:val="bg-BG"/>
        </w:rPr>
        <w:t xml:space="preserve"> 2014</w:t>
      </w:r>
      <w:r w:rsidR="00C2400D">
        <w:rPr>
          <w:rFonts w:ascii="Verdana" w:hAnsi="Verdana"/>
          <w:sz w:val="24"/>
          <w:szCs w:val="24"/>
        </w:rPr>
        <w:t>,</w:t>
      </w:r>
      <w:r w:rsidR="00927E7C">
        <w:rPr>
          <w:rFonts w:ascii="Verdana" w:hAnsi="Verdana"/>
          <w:sz w:val="24"/>
          <w:szCs w:val="24"/>
          <w:lang w:val="bg-BG"/>
        </w:rPr>
        <w:t xml:space="preserve">  2015</w:t>
      </w:r>
      <w:r w:rsidR="00C2400D">
        <w:rPr>
          <w:rFonts w:ascii="Verdana" w:hAnsi="Verdana"/>
          <w:sz w:val="24"/>
          <w:szCs w:val="24"/>
          <w:lang w:val="bg-BG"/>
        </w:rPr>
        <w:t xml:space="preserve"> и 2016</w:t>
      </w:r>
      <w:r w:rsidR="00BD7BC4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B45534" w:rsidRPr="00096AA1">
        <w:rPr>
          <w:rFonts w:ascii="Verdana" w:hAnsi="Verdana"/>
          <w:sz w:val="24"/>
          <w:szCs w:val="24"/>
          <w:lang w:val="bg-BG"/>
        </w:rPr>
        <w:t>години</w:t>
      </w:r>
      <w:r w:rsidRPr="00096AA1">
        <w:rPr>
          <w:rFonts w:ascii="Verdana" w:hAnsi="Verdana"/>
          <w:sz w:val="24"/>
          <w:szCs w:val="24"/>
          <w:lang w:val="bg-BG"/>
        </w:rPr>
        <w:t xml:space="preserve">. </w:t>
      </w:r>
      <w:r w:rsidR="00080236">
        <w:rPr>
          <w:rFonts w:ascii="Verdana" w:hAnsi="Verdana"/>
          <w:sz w:val="24"/>
          <w:szCs w:val="24"/>
          <w:lang w:val="bg-BG"/>
        </w:rPr>
        <w:t>Направено е съпоставяне на р</w:t>
      </w:r>
      <w:r w:rsidRPr="00096AA1">
        <w:rPr>
          <w:rFonts w:ascii="Verdana" w:hAnsi="Verdana"/>
          <w:sz w:val="24"/>
          <w:szCs w:val="24"/>
          <w:lang w:val="bg-BG"/>
        </w:rPr>
        <w:t>егистрираните нива със съответните норми за замърсител</w:t>
      </w:r>
      <w:r w:rsidR="00B45534" w:rsidRPr="00096AA1">
        <w:rPr>
          <w:rFonts w:ascii="Verdana" w:hAnsi="Verdana"/>
          <w:sz w:val="24"/>
          <w:szCs w:val="24"/>
          <w:lang w:val="bg-BG"/>
        </w:rPr>
        <w:t>я</w:t>
      </w:r>
      <w:r w:rsidRPr="00096AA1">
        <w:rPr>
          <w:rFonts w:ascii="Verdana" w:hAnsi="Verdana"/>
          <w:sz w:val="24"/>
          <w:szCs w:val="24"/>
          <w:lang w:val="bg-BG"/>
        </w:rPr>
        <w:t>.</w:t>
      </w:r>
      <w:r w:rsidR="00B45534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68331F">
      <w:pPr>
        <w:ind w:firstLine="567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2E1BE9" w:rsidRDefault="007010D4" w:rsidP="000D4EA1">
      <w:pPr>
        <w:pStyle w:val="2"/>
      </w:pPr>
      <w:r>
        <w:lastRenderedPageBreak/>
        <w:t>АИС „Каменица”</w:t>
      </w:r>
    </w:p>
    <w:p w:rsidR="00CB4F86" w:rsidRDefault="00CB4F86" w:rsidP="000D4EA1">
      <w:pPr>
        <w:pStyle w:val="3"/>
      </w:pPr>
    </w:p>
    <w:p w:rsidR="002E1BE9" w:rsidRDefault="002E1BE9" w:rsidP="000D4EA1">
      <w:pPr>
        <w:pStyle w:val="3"/>
      </w:pPr>
      <w:r>
        <w:t xml:space="preserve">Табл. </w:t>
      </w:r>
      <w:r w:rsidR="002A3654">
        <w:t>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E172B" w:rsidRPr="002E09A0">
        <w:trPr>
          <w:cantSplit/>
        </w:trPr>
        <w:tc>
          <w:tcPr>
            <w:tcW w:w="1872" w:type="dxa"/>
          </w:tcPr>
          <w:p w:rsidR="00BE172B" w:rsidRPr="00C2400D" w:rsidRDefault="00BE172B">
            <w:pPr>
              <w:spacing w:line="276" w:lineRule="auto"/>
            </w:pPr>
            <w:r>
              <w:rPr>
                <w:lang w:val="bg-BG"/>
              </w:rPr>
              <w:t>лято - 201</w:t>
            </w:r>
            <w:r w:rsidR="00C2400D">
              <w:t>6</w:t>
            </w:r>
          </w:p>
          <w:p w:rsidR="00BE172B" w:rsidRDefault="00BE172B">
            <w:pPr>
              <w:pStyle w:val="3"/>
              <w:spacing w:line="276" w:lineRule="auto"/>
            </w:pPr>
            <w:r>
              <w:t>ОЗОН (О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За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периода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</w:t>
            </w:r>
            <w:proofErr w:type="spellStart"/>
            <w:r>
              <w:rPr>
                <w:lang w:val="bg-BG"/>
              </w:rPr>
              <w:t>Регистр</w:t>
            </w:r>
            <w:proofErr w:type="spellEnd"/>
            <w:r>
              <w:rPr>
                <w:lang w:val="bg-BG"/>
              </w:rPr>
              <w:t>. проби  бр.</w:t>
            </w:r>
          </w:p>
        </w:tc>
        <w:tc>
          <w:tcPr>
            <w:tcW w:w="936" w:type="dxa"/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708</w:t>
            </w:r>
          </w:p>
        </w:tc>
        <w:tc>
          <w:tcPr>
            <w:tcW w:w="936" w:type="dxa"/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</w:t>
            </w:r>
            <w:r w:rsidR="007879F3">
              <w:rPr>
                <w:color w:val="000000"/>
                <w:lang w:val="bg-BG"/>
              </w:rPr>
              <w:t>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</w:t>
            </w:r>
            <w:r w:rsidR="007879F3"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214</w:t>
            </w:r>
            <w:r w:rsidR="007879F3"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730</w:t>
            </w:r>
          </w:p>
        </w:tc>
        <w:tc>
          <w:tcPr>
            <w:tcW w:w="936" w:type="dxa"/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7879F3">
              <w:rPr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7879F3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2168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7879F3">
              <w:rPr>
                <w:lang w:val="bg-BG"/>
              </w:rPr>
              <w:t>314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  <w:proofErr w:type="spellStart"/>
            <w:r>
              <w:rPr>
                <w:lang w:val="bg-BG"/>
              </w:rPr>
              <w:t>Регистр</w:t>
            </w:r>
            <w:proofErr w:type="spellEnd"/>
            <w:r>
              <w:rPr>
                <w:lang w:val="bg-BG"/>
              </w:rPr>
              <w:t>. данни   %</w:t>
            </w:r>
          </w:p>
        </w:tc>
        <w:tc>
          <w:tcPr>
            <w:tcW w:w="936" w:type="dxa"/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7879F3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7879F3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7879F3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7879F3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7879F3">
              <w:rPr>
                <w:lang w:val="bg-BG"/>
              </w:rPr>
              <w:t>8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3. Изм. МАХ </w:t>
            </w:r>
            <w:proofErr w:type="spellStart"/>
            <w:r>
              <w:rPr>
                <w:lang w:val="bg-BG"/>
              </w:rPr>
              <w:t>ст-т</w:t>
            </w:r>
            <w:proofErr w:type="spellEnd"/>
            <w:r>
              <w:rPr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103</w:t>
            </w:r>
          </w:p>
        </w:tc>
        <w:tc>
          <w:tcPr>
            <w:tcW w:w="936" w:type="dxa"/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7879F3">
              <w:rPr>
                <w:color w:val="000000"/>
                <w:lang w:val="bg-BG"/>
              </w:rPr>
              <w:t>1</w:t>
            </w:r>
            <w:r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149</w:t>
            </w:r>
          </w:p>
        </w:tc>
        <w:tc>
          <w:tcPr>
            <w:tcW w:w="936" w:type="dxa"/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149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149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Изм. средна </w:t>
            </w:r>
            <w:proofErr w:type="spellStart"/>
            <w:r>
              <w:rPr>
                <w:lang w:val="bg-BG"/>
              </w:rPr>
              <w:t>ст-т</w:t>
            </w:r>
            <w:proofErr w:type="spellEnd"/>
          </w:p>
        </w:tc>
        <w:tc>
          <w:tcPr>
            <w:tcW w:w="936" w:type="dxa"/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50</w:t>
            </w:r>
          </w:p>
        </w:tc>
        <w:tc>
          <w:tcPr>
            <w:tcW w:w="936" w:type="dxa"/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  <w:r w:rsidR="007879F3">
              <w:rPr>
                <w:color w:val="000000"/>
                <w:lang w:val="bg-BG"/>
              </w:rPr>
              <w:t>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57,3</w:t>
            </w:r>
            <w:r w:rsidR="00BE172B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78</w:t>
            </w:r>
          </w:p>
        </w:tc>
        <w:tc>
          <w:tcPr>
            <w:tcW w:w="936" w:type="dxa"/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</w:t>
            </w:r>
            <w:r w:rsidR="007879F3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7879F3">
              <w:rPr>
                <w:lang w:val="bg-BG"/>
              </w:rPr>
              <w:t>0,16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 w:rsidP="00ED1EBE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5. Превишения </w:t>
            </w:r>
            <w:r w:rsidR="00ED1EBE">
              <w:rPr>
                <w:lang w:val="bg-BG"/>
              </w:rPr>
              <w:t>КЦН</w:t>
            </w:r>
            <w:r>
              <w:rPr>
                <w:lang w:val="bg-BG"/>
              </w:rPr>
              <w:t xml:space="preserve">    </w:t>
            </w:r>
            <w:r>
              <w:rPr>
                <w:lang w:val="pt-BR"/>
              </w:rPr>
              <w:t xml:space="preserve"> </w:t>
            </w:r>
            <w:r>
              <w:rPr>
                <w:lang w:val="bg-BG"/>
              </w:rPr>
              <w:t>(бр.)</w:t>
            </w:r>
          </w:p>
        </w:tc>
        <w:tc>
          <w:tcPr>
            <w:tcW w:w="936" w:type="dxa"/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22</w:t>
            </w:r>
          </w:p>
        </w:tc>
        <w:tc>
          <w:tcPr>
            <w:tcW w:w="936" w:type="dxa"/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</w:tr>
      <w:tr w:rsidR="0052225F" w:rsidRPr="002E09A0">
        <w:trPr>
          <w:cantSplit/>
        </w:trPr>
        <w:tc>
          <w:tcPr>
            <w:tcW w:w="1872" w:type="dxa"/>
          </w:tcPr>
          <w:p w:rsidR="0052225F" w:rsidRDefault="0052225F" w:rsidP="00ED1EBE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6. Превишения КЦН    </w:t>
            </w:r>
            <w:r>
              <w:rPr>
                <w:lang w:val="pt-BR"/>
              </w:rPr>
              <w:t xml:space="preserve"> </w:t>
            </w:r>
            <w:r>
              <w:rPr>
                <w:lang w:val="bg-BG"/>
              </w:rPr>
              <w:t>(бр. дни)</w:t>
            </w:r>
          </w:p>
        </w:tc>
        <w:tc>
          <w:tcPr>
            <w:tcW w:w="936" w:type="dxa"/>
            <w:vAlign w:val="bottom"/>
          </w:tcPr>
          <w:p w:rsidR="0052225F" w:rsidRPr="0052225F" w:rsidRDefault="0052225F" w:rsidP="00101F2B">
            <w:pPr>
              <w:jc w:val="right"/>
              <w:rPr>
                <w:lang w:val="bg-BG"/>
              </w:rPr>
            </w:pPr>
            <w:r w:rsidRPr="0052225F">
              <w:rPr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52225F" w:rsidRPr="0052225F" w:rsidRDefault="0052225F" w:rsidP="00101F2B">
            <w:pPr>
              <w:jc w:val="right"/>
              <w:rPr>
                <w:lang w:val="bg-BG"/>
              </w:rPr>
            </w:pPr>
            <w:r w:rsidRPr="0052225F"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52225F" w:rsidRDefault="007879F3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52225F" w:rsidRDefault="007879F3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2225F" w:rsidRPr="0052225F" w:rsidRDefault="007879F3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936" w:type="dxa"/>
            <w:vAlign w:val="bottom"/>
          </w:tcPr>
          <w:p w:rsidR="0052225F" w:rsidRPr="0052225F" w:rsidRDefault="0052225F" w:rsidP="00101F2B">
            <w:pPr>
              <w:jc w:val="right"/>
              <w:rPr>
                <w:lang w:val="bg-BG"/>
              </w:rPr>
            </w:pPr>
            <w:r w:rsidRPr="0052225F">
              <w:rPr>
                <w:lang w:val="bg-BG"/>
              </w:rPr>
              <w:t>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52225F" w:rsidRDefault="007879F3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52225F" w:rsidRDefault="007879F3" w:rsidP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2225F" w:rsidRPr="0052225F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52225F" w:rsidRPr="002E09A0">
        <w:trPr>
          <w:cantSplit/>
        </w:trPr>
        <w:tc>
          <w:tcPr>
            <w:tcW w:w="1872" w:type="dxa"/>
          </w:tcPr>
          <w:p w:rsidR="0052225F" w:rsidRPr="00BE172B" w:rsidRDefault="0052225F" w:rsidP="000D1507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Pr="00BE172B">
              <w:rPr>
                <w:lang w:val="bg-BG"/>
              </w:rPr>
              <w:t>. Превишения П</w:t>
            </w:r>
            <w:r>
              <w:rPr>
                <w:lang w:val="bg-BG"/>
              </w:rPr>
              <w:t>ИН</w:t>
            </w:r>
            <w:r w:rsidRPr="00BE172B">
              <w:rPr>
                <w:lang w:val="bg-BG"/>
              </w:rPr>
              <w:t xml:space="preserve">    </w:t>
            </w:r>
            <w:r w:rsidRPr="00BE172B">
              <w:rPr>
                <w:lang w:val="pt-BR"/>
              </w:rPr>
              <w:t xml:space="preserve"> </w:t>
            </w:r>
            <w:r w:rsidRPr="00BE172B">
              <w:rPr>
                <w:lang w:val="bg-BG"/>
              </w:rPr>
              <w:t>(бр. дни)</w:t>
            </w:r>
          </w:p>
        </w:tc>
        <w:tc>
          <w:tcPr>
            <w:tcW w:w="936" w:type="dxa"/>
            <w:vAlign w:val="bottom"/>
          </w:tcPr>
          <w:p w:rsidR="0052225F" w:rsidRPr="00BE172B" w:rsidRDefault="0052225F">
            <w:pPr>
              <w:spacing w:line="276" w:lineRule="auto"/>
              <w:jc w:val="right"/>
              <w:rPr>
                <w:lang w:val="bg-BG"/>
              </w:rPr>
            </w:pPr>
            <w:r w:rsidRPr="00BE172B">
              <w:rPr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52225F" w:rsidRPr="00BE172B" w:rsidRDefault="0052225F">
            <w:pPr>
              <w:spacing w:line="276" w:lineRule="auto"/>
              <w:jc w:val="right"/>
              <w:rPr>
                <w:lang w:val="bg-BG"/>
              </w:rPr>
            </w:pPr>
            <w:r w:rsidRPr="00BE172B"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2225F" w:rsidRP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52225F" w:rsidRP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2225F" w:rsidRP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</w:tbl>
    <w:p w:rsidR="002E1BE9" w:rsidRDefault="002E1BE9">
      <w:pPr>
        <w:ind w:firstLine="567"/>
        <w:rPr>
          <w:lang w:val="bg-BG"/>
        </w:rPr>
      </w:pPr>
    </w:p>
    <w:p w:rsidR="00CB4F86" w:rsidRDefault="00CB4F86">
      <w:pPr>
        <w:ind w:firstLine="567"/>
        <w:rPr>
          <w:lang w:val="bg-BG"/>
        </w:rPr>
      </w:pPr>
    </w:p>
    <w:p w:rsidR="00CB4F86" w:rsidRPr="00096AA1" w:rsidRDefault="00CB4F86" w:rsidP="001227E5">
      <w:pPr>
        <w:ind w:firstLine="567"/>
        <w:jc w:val="both"/>
        <w:rPr>
          <w:rFonts w:ascii="Verdana" w:hAnsi="Verdana"/>
          <w:lang w:val="bg-BG"/>
        </w:rPr>
      </w:pP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1.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4B2C7D" w:rsidRPr="00096AA1">
        <w:rPr>
          <w:rFonts w:ascii="Verdana" w:hAnsi="Verdana"/>
          <w:lang w:val="bg-BG"/>
        </w:rPr>
        <w:t>Регистр</w:t>
      </w:r>
      <w:proofErr w:type="spellEnd"/>
      <w:r w:rsidR="004B2C7D" w:rsidRPr="00096AA1">
        <w:rPr>
          <w:rFonts w:ascii="Verdana" w:hAnsi="Verdana"/>
          <w:lang w:val="bg-BG"/>
        </w:rPr>
        <w:t xml:space="preserve">. проби 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 xml:space="preserve">броя на </w:t>
      </w:r>
      <w:proofErr w:type="spellStart"/>
      <w:r w:rsidR="001B2A9B" w:rsidRPr="00096AA1">
        <w:rPr>
          <w:rFonts w:ascii="Verdana" w:hAnsi="Verdana"/>
          <w:lang w:val="bg-BG"/>
        </w:rPr>
        <w:t>средночасовите</w:t>
      </w:r>
      <w:proofErr w:type="spellEnd"/>
      <w:r w:rsidR="001B2A9B" w:rsidRPr="00096AA1">
        <w:rPr>
          <w:rFonts w:ascii="Verdana" w:hAnsi="Verdana"/>
          <w:lang w:val="bg-BG"/>
        </w:rPr>
        <w:t xml:space="preserve"> проби за съответен период</w:t>
      </w: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2.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1B2A9B" w:rsidRPr="00096AA1">
        <w:rPr>
          <w:rFonts w:ascii="Verdana" w:hAnsi="Verdana"/>
          <w:lang w:val="bg-BG"/>
        </w:rPr>
        <w:t>Регистр</w:t>
      </w:r>
      <w:proofErr w:type="spellEnd"/>
      <w:r w:rsidR="001B2A9B" w:rsidRPr="00096AA1">
        <w:rPr>
          <w:rFonts w:ascii="Verdana" w:hAnsi="Verdana"/>
          <w:lang w:val="bg-BG"/>
        </w:rPr>
        <w:t>. данни</w:t>
      </w:r>
      <w:r w:rsidRPr="00096AA1">
        <w:rPr>
          <w:rFonts w:ascii="Verdana" w:hAnsi="Verdana"/>
          <w:lang w:val="bg-BG"/>
        </w:rPr>
        <w:t xml:space="preserve"> – </w:t>
      </w:r>
      <w:r w:rsidR="001B2A9B" w:rsidRPr="00096AA1">
        <w:rPr>
          <w:rFonts w:ascii="Verdana" w:hAnsi="Verdana"/>
          <w:lang w:val="bg-BG"/>
        </w:rPr>
        <w:t>отношението на броя регистрираните проби спрям</w:t>
      </w:r>
      <w:r w:rsidR="0042035E" w:rsidRPr="00096AA1">
        <w:rPr>
          <w:rFonts w:ascii="Verdana" w:hAnsi="Verdana"/>
          <w:lang w:val="bg-BG"/>
        </w:rPr>
        <w:t>о</w:t>
      </w:r>
      <w:r w:rsidR="001B2A9B" w:rsidRPr="00096AA1">
        <w:rPr>
          <w:rFonts w:ascii="Verdana" w:hAnsi="Verdana"/>
          <w:lang w:val="bg-BG"/>
        </w:rPr>
        <w:t xml:space="preserve"> теоретичния за съответен период в %</w:t>
      </w:r>
    </w:p>
    <w:p w:rsidR="002E1BE9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3. Изм. МАХ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1B2A9B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4. Изм. средна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ос</w:t>
      </w:r>
      <w:r w:rsidR="00252D57" w:rsidRPr="00096AA1">
        <w:rPr>
          <w:rFonts w:ascii="Verdana" w:hAnsi="Verdana"/>
          <w:lang w:val="bg-BG"/>
        </w:rPr>
        <w:t>р</w:t>
      </w:r>
      <w:r w:rsidRPr="00096AA1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1B2A9B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5. Превишения </w:t>
      </w:r>
      <w:r w:rsidR="004B2C7D" w:rsidRPr="00096AA1">
        <w:rPr>
          <w:rFonts w:ascii="Verdana" w:hAnsi="Verdana"/>
          <w:lang w:val="bg-BG"/>
        </w:rPr>
        <w:t xml:space="preserve">– </w:t>
      </w:r>
      <w:r w:rsidR="0042035E" w:rsidRPr="00096AA1">
        <w:rPr>
          <w:rFonts w:ascii="Verdana" w:hAnsi="Verdana"/>
          <w:lang w:val="bg-BG"/>
        </w:rPr>
        <w:t xml:space="preserve"> Брой</w:t>
      </w:r>
      <w:r w:rsidRPr="00096AA1">
        <w:rPr>
          <w:rFonts w:ascii="Verdana" w:hAnsi="Verdana"/>
          <w:lang w:val="bg-BG"/>
        </w:rPr>
        <w:t xml:space="preserve"> на регистрираните превишения</w:t>
      </w:r>
      <w:r w:rsidR="0042035E" w:rsidRPr="00096AA1">
        <w:rPr>
          <w:rFonts w:ascii="Verdana" w:hAnsi="Verdana"/>
          <w:lang w:val="bg-BG"/>
        </w:rPr>
        <w:t xml:space="preserve"> на </w:t>
      </w:r>
      <w:r w:rsidR="00ED1EBE">
        <w:rPr>
          <w:rFonts w:ascii="Verdana" w:hAnsi="Verdana"/>
          <w:lang w:val="bg-BG"/>
        </w:rPr>
        <w:t>Краткосрочна целева норма</w:t>
      </w:r>
      <w:r w:rsidR="0042035E" w:rsidRPr="00096AA1">
        <w:rPr>
          <w:rFonts w:ascii="Verdana" w:hAnsi="Verdana"/>
          <w:lang w:val="bg-BG"/>
        </w:rPr>
        <w:t xml:space="preserve"> (</w:t>
      </w:r>
      <w:r w:rsidR="00ED1EBE">
        <w:rPr>
          <w:rFonts w:ascii="Verdana" w:hAnsi="Verdana"/>
          <w:lang w:val="bg-BG"/>
        </w:rPr>
        <w:t>КЦН</w:t>
      </w:r>
      <w:r w:rsidR="0042035E" w:rsidRPr="00096AA1">
        <w:rPr>
          <w:rFonts w:ascii="Verdana" w:hAnsi="Verdana"/>
          <w:lang w:val="bg-BG"/>
        </w:rPr>
        <w:t>)</w:t>
      </w:r>
      <w:r w:rsidRPr="00096AA1">
        <w:rPr>
          <w:rFonts w:ascii="Verdana" w:hAnsi="Verdana"/>
          <w:lang w:val="bg-BG"/>
        </w:rPr>
        <w:t xml:space="preserve"> </w:t>
      </w:r>
      <w:r w:rsidR="00887A2B" w:rsidRPr="00096AA1">
        <w:rPr>
          <w:rFonts w:ascii="Verdana" w:hAnsi="Verdana"/>
          <w:lang w:val="bg-BG"/>
        </w:rPr>
        <w:t>осемчасов</w:t>
      </w:r>
      <w:r w:rsidR="0042035E" w:rsidRPr="00096AA1">
        <w:rPr>
          <w:rFonts w:ascii="Verdana" w:hAnsi="Verdana"/>
          <w:lang w:val="bg-BG"/>
        </w:rPr>
        <w:t>а</w:t>
      </w:r>
      <w:r w:rsidR="00887A2B" w:rsidRPr="00096AA1">
        <w:rPr>
          <w:rFonts w:ascii="Verdana" w:hAnsi="Verdana"/>
          <w:lang w:val="bg-BG"/>
        </w:rPr>
        <w:t xml:space="preserve"> </w:t>
      </w:r>
      <w:r w:rsidR="0042035E" w:rsidRPr="00096AA1">
        <w:rPr>
          <w:rFonts w:ascii="Verdana" w:hAnsi="Verdana"/>
          <w:lang w:val="bg-BG"/>
        </w:rPr>
        <w:t>средна стойност</w:t>
      </w:r>
      <w:r w:rsidR="00887A2B" w:rsidRPr="00096AA1">
        <w:rPr>
          <w:rFonts w:ascii="Verdana" w:hAnsi="Verdana"/>
          <w:lang w:val="bg-BG"/>
        </w:rPr>
        <w:t xml:space="preserve"> над </w:t>
      </w:r>
      <w:r w:rsidRPr="00096AA1">
        <w:rPr>
          <w:rFonts w:ascii="Verdana" w:hAnsi="Verdana"/>
          <w:lang w:val="bg-BG"/>
        </w:rPr>
        <w:t>1</w:t>
      </w:r>
      <w:r w:rsidR="00731B60">
        <w:rPr>
          <w:rFonts w:ascii="Verdana" w:hAnsi="Verdana"/>
          <w:lang w:val="bg-BG"/>
        </w:rPr>
        <w:t>2</w:t>
      </w:r>
      <w:r w:rsidRPr="00096AA1">
        <w:rPr>
          <w:rFonts w:ascii="Verdana" w:hAnsi="Verdana"/>
          <w:lang w:val="bg-BG"/>
        </w:rPr>
        <w:t xml:space="preserve">0 </w:t>
      </w:r>
      <w:proofErr w:type="spellStart"/>
      <w:r w:rsidRPr="00096AA1">
        <w:rPr>
          <w:rFonts w:ascii="Verdana" w:hAnsi="Verdana"/>
          <w:lang w:val="bg-BG"/>
        </w:rPr>
        <w:t>μg</w:t>
      </w:r>
      <w:proofErr w:type="spellEnd"/>
      <w:r w:rsidRPr="00096AA1">
        <w:rPr>
          <w:rFonts w:ascii="Verdana" w:hAnsi="Verdana"/>
          <w:lang w:val="bg-BG"/>
        </w:rPr>
        <w:t xml:space="preserve">/m³ </w:t>
      </w:r>
    </w:p>
    <w:p w:rsidR="0052225F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6. Превишения- Брой дни с превишения на Краткосрочна целева норма</w:t>
      </w:r>
      <w:r w:rsidRPr="00096AA1">
        <w:rPr>
          <w:rFonts w:ascii="Verdana" w:hAnsi="Verdana"/>
          <w:lang w:val="bg-BG"/>
        </w:rPr>
        <w:t xml:space="preserve"> (</w:t>
      </w:r>
      <w:r>
        <w:rPr>
          <w:rFonts w:ascii="Verdana" w:hAnsi="Verdana"/>
          <w:lang w:val="bg-BG"/>
        </w:rPr>
        <w:t>КЦН</w:t>
      </w:r>
      <w:r w:rsidRPr="00096AA1">
        <w:rPr>
          <w:rFonts w:ascii="Verdana" w:hAnsi="Verdana"/>
          <w:lang w:val="bg-BG"/>
        </w:rPr>
        <w:t>)</w:t>
      </w:r>
      <w:r w:rsidRPr="0052225F">
        <w:rPr>
          <w:rFonts w:ascii="Verdana" w:hAnsi="Verdana"/>
          <w:lang w:val="bg-BG"/>
        </w:rPr>
        <w:t xml:space="preserve"> </w:t>
      </w:r>
      <w:r w:rsidRPr="00096AA1">
        <w:rPr>
          <w:rFonts w:ascii="Verdana" w:hAnsi="Verdana"/>
          <w:lang w:val="bg-BG"/>
        </w:rPr>
        <w:t>осемчасова средна стойност над 1</w:t>
      </w:r>
      <w:r>
        <w:rPr>
          <w:rFonts w:ascii="Verdana" w:hAnsi="Verdana"/>
          <w:lang w:val="bg-BG"/>
        </w:rPr>
        <w:t>2</w:t>
      </w:r>
      <w:r w:rsidRPr="00096AA1">
        <w:rPr>
          <w:rFonts w:ascii="Verdana" w:hAnsi="Verdana"/>
          <w:lang w:val="bg-BG"/>
        </w:rPr>
        <w:t xml:space="preserve">0 </w:t>
      </w:r>
      <w:proofErr w:type="spellStart"/>
      <w:r w:rsidRPr="00096AA1">
        <w:rPr>
          <w:rFonts w:ascii="Verdana" w:hAnsi="Verdana"/>
          <w:lang w:val="bg-BG"/>
        </w:rPr>
        <w:t>μg</w:t>
      </w:r>
      <w:proofErr w:type="spellEnd"/>
      <w:r w:rsidRPr="00096AA1">
        <w:rPr>
          <w:rFonts w:ascii="Verdana" w:hAnsi="Verdana"/>
          <w:lang w:val="bg-BG"/>
        </w:rPr>
        <w:t>/m³</w:t>
      </w:r>
    </w:p>
    <w:p w:rsidR="0042035E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</w:t>
      </w:r>
      <w:r w:rsidR="0042035E" w:rsidRPr="00096AA1">
        <w:rPr>
          <w:rFonts w:ascii="Verdana" w:hAnsi="Verdana"/>
          <w:lang w:val="bg-BG"/>
        </w:rPr>
        <w:t xml:space="preserve">. Превишения – Брой на регистрираните превишения на Праг за </w:t>
      </w:r>
      <w:proofErr w:type="spellStart"/>
      <w:r w:rsidR="0042035E" w:rsidRPr="00096AA1">
        <w:rPr>
          <w:rFonts w:ascii="Verdana" w:hAnsi="Verdana"/>
          <w:lang w:val="bg-BG"/>
        </w:rPr>
        <w:t>информирне</w:t>
      </w:r>
      <w:proofErr w:type="spellEnd"/>
      <w:r w:rsidR="0042035E" w:rsidRPr="00096AA1">
        <w:rPr>
          <w:rFonts w:ascii="Verdana" w:hAnsi="Verdana"/>
          <w:lang w:val="bg-BG"/>
        </w:rPr>
        <w:t xml:space="preserve"> на населението (ПИН), </w:t>
      </w:r>
      <w:proofErr w:type="spellStart"/>
      <w:r w:rsidR="0042035E" w:rsidRPr="00096AA1">
        <w:rPr>
          <w:rFonts w:ascii="Verdana" w:hAnsi="Verdana"/>
          <w:lang w:val="bg-BG"/>
        </w:rPr>
        <w:t>средночасова</w:t>
      </w:r>
      <w:proofErr w:type="spellEnd"/>
      <w:r w:rsidR="0042035E" w:rsidRPr="00096AA1">
        <w:rPr>
          <w:rFonts w:ascii="Verdana" w:hAnsi="Verdana"/>
          <w:lang w:val="bg-BG"/>
        </w:rPr>
        <w:t xml:space="preserve"> стойност над 180 </w:t>
      </w:r>
      <w:proofErr w:type="spellStart"/>
      <w:r w:rsidR="0042035E" w:rsidRPr="00096AA1">
        <w:rPr>
          <w:rFonts w:ascii="Verdana" w:hAnsi="Verdana"/>
          <w:lang w:val="bg-BG"/>
        </w:rPr>
        <w:t>μg</w:t>
      </w:r>
      <w:proofErr w:type="spellEnd"/>
      <w:r w:rsidR="0042035E" w:rsidRPr="00096AA1">
        <w:rPr>
          <w:rFonts w:ascii="Verdana" w:hAnsi="Verdana"/>
          <w:lang w:val="bg-BG"/>
        </w:rPr>
        <w:t>/m³</w:t>
      </w:r>
    </w:p>
    <w:p w:rsidR="004B2C7D" w:rsidRDefault="004B2C7D" w:rsidP="000D4EA1">
      <w:pPr>
        <w:pStyle w:val="3"/>
        <w:rPr>
          <w:sz w:val="24"/>
          <w:szCs w:val="24"/>
        </w:rPr>
      </w:pPr>
      <w:r>
        <w:t>Фиг. 1</w:t>
      </w:r>
      <w:r w:rsidR="001227E5">
        <w:t xml:space="preserve"> – </w:t>
      </w:r>
      <w:r w:rsidR="001227E5" w:rsidRPr="001227E5">
        <w:rPr>
          <w:sz w:val="24"/>
          <w:szCs w:val="24"/>
        </w:rPr>
        <w:t>Тенденция на изменение на регистрираните стойности по показател О</w:t>
      </w:r>
      <w:r w:rsidR="001227E5" w:rsidRPr="001227E5">
        <w:rPr>
          <w:sz w:val="24"/>
          <w:szCs w:val="24"/>
          <w:vertAlign w:val="subscript"/>
        </w:rPr>
        <w:t>3</w:t>
      </w:r>
      <w:r w:rsidR="00926961">
        <w:rPr>
          <w:sz w:val="24"/>
          <w:szCs w:val="24"/>
          <w:vertAlign w:val="subscript"/>
        </w:rPr>
        <w:t xml:space="preserve"> </w:t>
      </w:r>
      <w:r w:rsidR="00926961">
        <w:rPr>
          <w:sz w:val="24"/>
          <w:szCs w:val="24"/>
        </w:rPr>
        <w:t xml:space="preserve"> в µ</w:t>
      </w:r>
      <w:r w:rsidR="00926961">
        <w:rPr>
          <w:sz w:val="24"/>
          <w:szCs w:val="24"/>
          <w:lang w:val="en-US"/>
        </w:rPr>
        <w:t>g/m</w:t>
      </w:r>
      <w:r w:rsidR="00926961">
        <w:rPr>
          <w:sz w:val="24"/>
          <w:szCs w:val="24"/>
          <w:vertAlign w:val="superscript"/>
          <w:lang w:val="en-US"/>
        </w:rPr>
        <w:t>3</w:t>
      </w:r>
      <w:r w:rsidR="001227E5" w:rsidRPr="001227E5">
        <w:rPr>
          <w:sz w:val="24"/>
          <w:szCs w:val="24"/>
          <w:vertAlign w:val="subscript"/>
        </w:rPr>
        <w:t xml:space="preserve"> , </w:t>
      </w:r>
      <w:r w:rsidR="001227E5" w:rsidRPr="001227E5">
        <w:rPr>
          <w:sz w:val="24"/>
          <w:szCs w:val="24"/>
        </w:rPr>
        <w:t>осреднен</w:t>
      </w:r>
      <w:r w:rsidR="001227E5">
        <w:rPr>
          <w:sz w:val="24"/>
          <w:szCs w:val="24"/>
        </w:rPr>
        <w:t>и</w:t>
      </w:r>
      <w:r w:rsidR="001227E5" w:rsidRPr="001227E5">
        <w:rPr>
          <w:sz w:val="24"/>
          <w:szCs w:val="24"/>
        </w:rPr>
        <w:t xml:space="preserve"> по месеци</w:t>
      </w:r>
      <w:r w:rsidR="001227E5">
        <w:rPr>
          <w:sz w:val="24"/>
          <w:szCs w:val="24"/>
        </w:rPr>
        <w:t>,</w:t>
      </w:r>
      <w:r w:rsidR="001227E5" w:rsidRPr="001227E5">
        <w:rPr>
          <w:sz w:val="24"/>
          <w:szCs w:val="24"/>
        </w:rPr>
        <w:t xml:space="preserve"> за периода от 20</w:t>
      </w:r>
      <w:r w:rsidR="0063599E">
        <w:rPr>
          <w:sz w:val="24"/>
          <w:szCs w:val="24"/>
        </w:rPr>
        <w:t>10</w:t>
      </w:r>
      <w:r w:rsidR="001227E5" w:rsidRPr="001227E5">
        <w:rPr>
          <w:sz w:val="24"/>
          <w:szCs w:val="24"/>
        </w:rPr>
        <w:t>г. до 201</w:t>
      </w:r>
      <w:r w:rsidR="00CA0362">
        <w:rPr>
          <w:sz w:val="24"/>
          <w:szCs w:val="24"/>
        </w:rPr>
        <w:t>6</w:t>
      </w:r>
      <w:r w:rsidR="001227E5" w:rsidRPr="001227E5">
        <w:rPr>
          <w:sz w:val="24"/>
          <w:szCs w:val="24"/>
        </w:rPr>
        <w:t>г.</w:t>
      </w:r>
    </w:p>
    <w:p w:rsidR="00543AB7" w:rsidRPr="00926961" w:rsidRDefault="00CA0362" w:rsidP="00926961">
      <w:pPr>
        <w:keepNext/>
        <w:rPr>
          <w:lang w:val="bg-BG"/>
        </w:rPr>
      </w:pPr>
      <w:bookmarkStart w:id="0" w:name="_GoBack"/>
      <w:bookmarkEnd w:id="0"/>
      <w:r>
        <w:rPr>
          <w:noProof/>
          <w:lang w:val="bg-BG"/>
        </w:rPr>
        <w:drawing>
          <wp:inline distT="0" distB="0" distL="0" distR="0" wp14:anchorId="5EC70EC6" wp14:editId="158EB76C">
            <wp:extent cx="6181725" cy="3590925"/>
            <wp:effectExtent l="0" t="0" r="9525" b="9525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599E" w:rsidRDefault="0063599E" w:rsidP="00543AB7">
      <w:pPr>
        <w:rPr>
          <w:lang w:val="bg-BG" w:eastAsia="en-US"/>
        </w:rPr>
      </w:pPr>
    </w:p>
    <w:p w:rsidR="0063599E" w:rsidRDefault="0063599E" w:rsidP="00543AB7">
      <w:pPr>
        <w:rPr>
          <w:lang w:val="bg-BG" w:eastAsia="en-US"/>
        </w:rPr>
      </w:pPr>
    </w:p>
    <w:p w:rsidR="0063599E" w:rsidRDefault="0063599E" w:rsidP="00543AB7">
      <w:pPr>
        <w:rPr>
          <w:lang w:val="bg-BG" w:eastAsia="en-US"/>
        </w:rPr>
      </w:pPr>
    </w:p>
    <w:p w:rsidR="00B24E54" w:rsidRDefault="00B24E54" w:rsidP="00543AB7">
      <w:pPr>
        <w:rPr>
          <w:lang w:val="bg-BG" w:eastAsia="en-US"/>
        </w:rPr>
      </w:pPr>
    </w:p>
    <w:p w:rsidR="008A3BC3" w:rsidRPr="008A3BC3" w:rsidRDefault="008A3BC3" w:rsidP="008A3BC3">
      <w:pPr>
        <w:rPr>
          <w:lang w:val="bg-BG" w:eastAsia="en-US"/>
        </w:rPr>
      </w:pPr>
    </w:p>
    <w:p w:rsidR="004B2C7D" w:rsidRPr="004B2C7D" w:rsidRDefault="004B2C7D" w:rsidP="000D4EA1">
      <w:pPr>
        <w:pStyle w:val="3"/>
        <w:rPr>
          <w:lang w:eastAsia="en-US"/>
        </w:rPr>
      </w:pPr>
      <w:r>
        <w:t>Табл. 3</w:t>
      </w:r>
    </w:p>
    <w:tbl>
      <w:tblPr>
        <w:tblpPr w:leftFromText="180" w:rightFromText="180" w:vertAnchor="text" w:horzAnchor="margin" w:tblpX="-318" w:tblpY="84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3599E" w:rsidRPr="00B80AD8">
        <w:trPr>
          <w:cantSplit/>
        </w:trPr>
        <w:tc>
          <w:tcPr>
            <w:tcW w:w="2190" w:type="dxa"/>
          </w:tcPr>
          <w:p w:rsidR="0063599E" w:rsidRPr="00C2400D" w:rsidRDefault="0063599E" w:rsidP="0063599E">
            <w:pPr>
              <w:spacing w:line="276" w:lineRule="auto"/>
            </w:pPr>
            <w:r>
              <w:rPr>
                <w:lang w:val="bg-BG"/>
              </w:rPr>
              <w:t>лято – 201</w:t>
            </w:r>
            <w:r w:rsidR="00C2400D">
              <w:t>6</w:t>
            </w:r>
          </w:p>
          <w:p w:rsidR="0063599E" w:rsidRDefault="0063599E" w:rsidP="0063599E">
            <w:pPr>
              <w:pStyle w:val="3"/>
              <w:spacing w:line="276" w:lineRule="auto"/>
            </w:pPr>
            <w:r>
              <w:t>Метеорология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За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периода</w:t>
            </w:r>
          </w:p>
        </w:tc>
      </w:tr>
      <w:tr w:rsidR="00980A49" w:rsidRPr="00B80AD8">
        <w:trPr>
          <w:cantSplit/>
        </w:trPr>
        <w:tc>
          <w:tcPr>
            <w:tcW w:w="2190" w:type="dxa"/>
          </w:tcPr>
          <w:p w:rsidR="00980A49" w:rsidRDefault="00980A49" w:rsidP="00BA236C">
            <w:pPr>
              <w:spacing w:line="276" w:lineRule="auto"/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 xml:space="preserve">1. Темп. ср. </w:t>
            </w:r>
          </w:p>
        </w:tc>
        <w:tc>
          <w:tcPr>
            <w:tcW w:w="936" w:type="dxa"/>
            <w:vAlign w:val="bottom"/>
          </w:tcPr>
          <w:p w:rsidR="00980A49" w:rsidRPr="004F768A" w:rsidRDefault="004F768A" w:rsidP="00980A4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6" w:type="dxa"/>
            <w:vAlign w:val="bottom"/>
          </w:tcPr>
          <w:p w:rsidR="00980A49" w:rsidRPr="004F768A" w:rsidRDefault="004F768A" w:rsidP="00980A4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980A49" w:rsidRPr="004F768A" w:rsidRDefault="004F768A" w:rsidP="00980A4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980A49" w:rsidRPr="004F768A" w:rsidRDefault="004F768A" w:rsidP="00980A4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980A49" w:rsidRDefault="00980A49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vAlign w:val="bottom"/>
          </w:tcPr>
          <w:p w:rsidR="00980A49" w:rsidRDefault="00980A49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980A49" w:rsidRDefault="00980A49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980A49" w:rsidRDefault="00980A49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980A49" w:rsidRPr="004F768A" w:rsidRDefault="00980A49" w:rsidP="004F768A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21,</w:t>
            </w:r>
            <w:r w:rsidR="004F768A">
              <w:rPr>
                <w:color w:val="000000"/>
              </w:rPr>
              <w:t>5</w:t>
            </w:r>
          </w:p>
        </w:tc>
      </w:tr>
      <w:tr w:rsidR="00980A49" w:rsidRPr="00B80AD8">
        <w:trPr>
          <w:cantSplit/>
        </w:trPr>
        <w:tc>
          <w:tcPr>
            <w:tcW w:w="2190" w:type="dxa"/>
          </w:tcPr>
          <w:p w:rsidR="00980A49" w:rsidRDefault="00980A49" w:rsidP="00BA236C">
            <w:pPr>
              <w:spacing w:line="276" w:lineRule="auto"/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 xml:space="preserve">2. Темп. 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980A49" w:rsidRDefault="004F768A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vAlign w:val="bottom"/>
          </w:tcPr>
          <w:p w:rsidR="00980A49" w:rsidRDefault="00980A49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4F768A">
              <w:rPr>
                <w:color w:val="000000"/>
                <w:lang w:val="bg-BG"/>
              </w:rPr>
              <w:t>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980A49" w:rsidRDefault="00980A49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4F768A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980A49" w:rsidRDefault="00980A49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4F768A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980A49" w:rsidRDefault="00980A49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4F768A"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vAlign w:val="bottom"/>
          </w:tcPr>
          <w:p w:rsidR="00980A49" w:rsidRDefault="00980A49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4F768A"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980A49" w:rsidRDefault="00980A49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4F768A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980A49" w:rsidRDefault="00980A49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4F768A"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980A49" w:rsidRDefault="00980A49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4F768A">
              <w:rPr>
                <w:color w:val="000000"/>
                <w:lang w:val="bg-BG"/>
              </w:rPr>
              <w:t>36</w:t>
            </w:r>
          </w:p>
        </w:tc>
      </w:tr>
      <w:tr w:rsidR="00BA236C" w:rsidRPr="00B80AD8">
        <w:trPr>
          <w:cantSplit/>
        </w:trPr>
        <w:tc>
          <w:tcPr>
            <w:tcW w:w="2190" w:type="dxa"/>
          </w:tcPr>
          <w:p w:rsidR="00BA236C" w:rsidRPr="002E09A0" w:rsidRDefault="00BA236C" w:rsidP="00BA236C">
            <w:pPr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Pr="002E09A0">
              <w:rPr>
                <w:lang w:val="bg-BG"/>
              </w:rPr>
              <w:t xml:space="preserve">. Изм. МАХ </w:t>
            </w:r>
            <w:proofErr w:type="spellStart"/>
            <w:r w:rsidRPr="002E09A0">
              <w:rPr>
                <w:lang w:val="bg-BG"/>
              </w:rPr>
              <w:t>ст-т</w:t>
            </w:r>
            <w:proofErr w:type="spellEnd"/>
            <w:r>
              <w:rPr>
                <w:lang w:val="bg-BG"/>
              </w:rPr>
              <w:t xml:space="preserve"> –О</w:t>
            </w:r>
            <w:r>
              <w:rPr>
                <w:vertAlign w:val="subscript"/>
                <w:lang w:val="bg-BG"/>
              </w:rPr>
              <w:t>3</w:t>
            </w:r>
            <w:r w:rsidRPr="002E09A0">
              <w:rPr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4F768A">
              <w:rPr>
                <w:color w:val="000000"/>
                <w:lang w:val="bg-BG"/>
              </w:rPr>
              <w:t>03</w:t>
            </w:r>
          </w:p>
        </w:tc>
        <w:tc>
          <w:tcPr>
            <w:tcW w:w="936" w:type="dxa"/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4F768A">
              <w:rPr>
                <w:color w:val="000000"/>
                <w:lang w:val="bg-BG"/>
              </w:rPr>
              <w:t>17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4F768A">
              <w:rPr>
                <w:color w:val="000000"/>
                <w:lang w:val="bg-BG"/>
              </w:rPr>
              <w:t>19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4F768A">
              <w:rPr>
                <w:color w:val="000000"/>
                <w:lang w:val="bg-BG"/>
              </w:rPr>
              <w:t>49</w:t>
            </w:r>
          </w:p>
        </w:tc>
        <w:tc>
          <w:tcPr>
            <w:tcW w:w="936" w:type="dxa"/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4F768A">
              <w:rPr>
                <w:color w:val="000000"/>
                <w:lang w:val="bg-BG"/>
              </w:rPr>
              <w:t>13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4F768A">
              <w:rPr>
                <w:color w:val="000000"/>
                <w:lang w:val="bg-BG"/>
              </w:rPr>
              <w:t>49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F768A">
              <w:rPr>
                <w:lang w:val="bg-BG"/>
              </w:rPr>
              <w:t>49</w:t>
            </w:r>
          </w:p>
        </w:tc>
      </w:tr>
      <w:tr w:rsidR="00BA236C" w:rsidRPr="00B80AD8" w:rsidTr="00CC77CB">
        <w:trPr>
          <w:cantSplit/>
          <w:trHeight w:val="70"/>
        </w:trPr>
        <w:tc>
          <w:tcPr>
            <w:tcW w:w="2190" w:type="dxa"/>
          </w:tcPr>
          <w:p w:rsidR="00BA236C" w:rsidRPr="006500C9" w:rsidRDefault="00BA236C" w:rsidP="00BA236C">
            <w:pPr>
              <w:ind w:left="142" w:right="-133" w:hanging="198"/>
              <w:rPr>
                <w:vertAlign w:val="subscript"/>
                <w:lang w:val="bg-BG"/>
              </w:rPr>
            </w:pPr>
            <w:r>
              <w:rPr>
                <w:lang w:val="bg-BG"/>
              </w:rPr>
              <w:t>4</w:t>
            </w:r>
            <w:r w:rsidRPr="002E09A0">
              <w:rPr>
                <w:lang w:val="bg-BG"/>
              </w:rPr>
              <w:t>. Изм. средна ст-т</w:t>
            </w:r>
            <w:r>
              <w:rPr>
                <w:lang w:val="bg-BG"/>
              </w:rPr>
              <w:t>-О</w:t>
            </w:r>
            <w:r>
              <w:rPr>
                <w:vertAlign w:val="subscript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BA236C" w:rsidRDefault="004F768A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50</w:t>
            </w:r>
          </w:p>
        </w:tc>
        <w:tc>
          <w:tcPr>
            <w:tcW w:w="936" w:type="dxa"/>
            <w:vAlign w:val="bottom"/>
          </w:tcPr>
          <w:p w:rsidR="00BA236C" w:rsidRDefault="00BA236C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A236C" w:rsidRDefault="00BA236C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  <w:r w:rsidR="004F768A">
              <w:rPr>
                <w:color w:val="000000"/>
                <w:lang w:val="bg-BG"/>
              </w:rPr>
              <w:t>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A236C" w:rsidRDefault="004F768A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57,3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4F768A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  <w:r w:rsidR="004F768A"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</w:t>
            </w:r>
            <w:r w:rsidR="004F768A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A236C" w:rsidRDefault="00BA236C" w:rsidP="004F768A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4F768A">
              <w:rPr>
                <w:lang w:val="bg-BG"/>
              </w:rPr>
              <w:t>0,15</w:t>
            </w:r>
          </w:p>
        </w:tc>
      </w:tr>
    </w:tbl>
    <w:p w:rsidR="004F0FCB" w:rsidRDefault="004F0FCB" w:rsidP="00DA35B2">
      <w:pPr>
        <w:ind w:left="284" w:right="-133"/>
        <w:rPr>
          <w:lang w:val="bg-BG"/>
        </w:rPr>
      </w:pP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1. Темп. ср.  – </w:t>
      </w:r>
      <w:proofErr w:type="spellStart"/>
      <w:r w:rsidRPr="00096AA1">
        <w:rPr>
          <w:rFonts w:ascii="Verdana" w:hAnsi="Verdana"/>
          <w:lang w:val="bg-BG"/>
        </w:rPr>
        <w:t>средномесечна</w:t>
      </w:r>
      <w:proofErr w:type="spellEnd"/>
      <w:r w:rsidRPr="00096AA1">
        <w:rPr>
          <w:rFonts w:ascii="Verdana" w:hAnsi="Verdana"/>
          <w:lang w:val="bg-BG"/>
        </w:rPr>
        <w:t xml:space="preserve"> температура</w:t>
      </w: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2. Темп.  </w:t>
      </w:r>
      <w:proofErr w:type="spellStart"/>
      <w:r w:rsidRPr="00096AA1">
        <w:rPr>
          <w:rFonts w:ascii="Verdana" w:hAnsi="Verdana"/>
          <w:lang w:val="bg-BG"/>
        </w:rPr>
        <w:t>мах</w:t>
      </w:r>
      <w:proofErr w:type="spellEnd"/>
      <w:r w:rsidRPr="00096AA1">
        <w:rPr>
          <w:rFonts w:ascii="Verdana" w:hAnsi="Verdana"/>
          <w:lang w:val="bg-BG"/>
        </w:rPr>
        <w:t xml:space="preserve">.  – измерена максимална </w:t>
      </w:r>
      <w:proofErr w:type="spellStart"/>
      <w:r w:rsidR="004F768A">
        <w:rPr>
          <w:rFonts w:ascii="Verdana" w:hAnsi="Verdana"/>
          <w:lang w:val="bg-BG"/>
        </w:rPr>
        <w:t>средночасова</w:t>
      </w:r>
      <w:proofErr w:type="spellEnd"/>
      <w:r w:rsidR="004F768A">
        <w:rPr>
          <w:rFonts w:ascii="Verdana" w:hAnsi="Verdana"/>
          <w:lang w:val="bg-BG"/>
        </w:rPr>
        <w:t xml:space="preserve"> </w:t>
      </w:r>
      <w:r w:rsidRPr="00096AA1">
        <w:rPr>
          <w:rFonts w:ascii="Verdana" w:hAnsi="Verdana"/>
          <w:lang w:val="bg-BG"/>
        </w:rPr>
        <w:t>температура</w:t>
      </w:r>
      <w:r w:rsidR="004F768A">
        <w:rPr>
          <w:rFonts w:ascii="Verdana" w:hAnsi="Verdana"/>
          <w:lang w:val="bg-BG"/>
        </w:rPr>
        <w:t xml:space="preserve"> </w:t>
      </w:r>
    </w:p>
    <w:p w:rsidR="004B2C7D" w:rsidRPr="00096AA1" w:rsidRDefault="007010D4" w:rsidP="004B2C7D">
      <w:pPr>
        <w:rPr>
          <w:rFonts w:ascii="Verdana" w:hAnsi="Verdana"/>
          <w:vertAlign w:val="subscript"/>
          <w:lang w:val="bg-BG" w:eastAsia="en-US"/>
        </w:rPr>
      </w:pPr>
      <w:r>
        <w:rPr>
          <w:rFonts w:ascii="Verdana" w:hAnsi="Verdana"/>
          <w:lang w:val="bg-BG" w:eastAsia="en-US"/>
        </w:rPr>
        <w:t xml:space="preserve">    </w:t>
      </w:r>
      <w:r w:rsidR="00BA236C">
        <w:rPr>
          <w:rFonts w:ascii="Verdana" w:hAnsi="Verdana"/>
          <w:lang w:val="bg-BG" w:eastAsia="en-US"/>
        </w:rPr>
        <w:t>3</w:t>
      </w:r>
      <w:r w:rsidR="006500C9" w:rsidRPr="00096AA1">
        <w:rPr>
          <w:rFonts w:ascii="Verdana" w:hAnsi="Verdana"/>
          <w:lang w:val="bg-BG" w:eastAsia="en-US"/>
        </w:rPr>
        <w:t>. Измерена максимална стойност - О</w:t>
      </w:r>
      <w:r w:rsidR="006500C9" w:rsidRPr="00096AA1">
        <w:rPr>
          <w:rFonts w:ascii="Verdana" w:hAnsi="Verdana"/>
          <w:vertAlign w:val="subscript"/>
          <w:lang w:val="bg-BG" w:eastAsia="en-US"/>
        </w:rPr>
        <w:t>3</w:t>
      </w:r>
    </w:p>
    <w:p w:rsidR="006500C9" w:rsidRPr="00096AA1" w:rsidRDefault="006500C9" w:rsidP="004B2C7D">
      <w:pPr>
        <w:rPr>
          <w:rFonts w:ascii="Verdana" w:hAnsi="Verdana"/>
          <w:lang w:val="bg-BG" w:eastAsia="en-US"/>
        </w:rPr>
      </w:pPr>
      <w:r w:rsidRPr="00096AA1">
        <w:rPr>
          <w:rFonts w:ascii="Verdana" w:hAnsi="Verdana"/>
          <w:lang w:val="bg-BG" w:eastAsia="en-US"/>
        </w:rPr>
        <w:t xml:space="preserve">    </w:t>
      </w:r>
      <w:r w:rsidR="00BA236C">
        <w:rPr>
          <w:rFonts w:ascii="Verdana" w:hAnsi="Verdana"/>
          <w:lang w:val="bg-BG" w:eastAsia="en-US"/>
        </w:rPr>
        <w:t>4</w:t>
      </w:r>
      <w:r w:rsidRPr="00096AA1">
        <w:rPr>
          <w:rFonts w:ascii="Verdana" w:hAnsi="Verdana"/>
          <w:lang w:val="bg-BG" w:eastAsia="en-US"/>
        </w:rPr>
        <w:t>. Измерена средна стойност на -  О</w:t>
      </w:r>
      <w:r w:rsidRPr="00096AA1">
        <w:rPr>
          <w:rFonts w:ascii="Verdana" w:hAnsi="Verdana"/>
          <w:vertAlign w:val="subscript"/>
          <w:lang w:val="bg-BG" w:eastAsia="en-US"/>
        </w:rPr>
        <w:t>3</w:t>
      </w:r>
    </w:p>
    <w:p w:rsidR="000A4063" w:rsidRDefault="000A4063" w:rsidP="00B85BCD">
      <w:pPr>
        <w:pStyle w:val="2"/>
        <w:rPr>
          <w:rFonts w:ascii="Verdana" w:hAnsi="Verdana"/>
          <w:i/>
          <w:sz w:val="24"/>
          <w:szCs w:val="24"/>
          <w:lang w:val="en-US"/>
        </w:rPr>
      </w:pPr>
    </w:p>
    <w:p w:rsidR="002E0A2A" w:rsidRDefault="002E0A2A" w:rsidP="002E0A2A">
      <w:pPr>
        <w:rPr>
          <w:lang w:val="bg-BG" w:eastAsia="en-US"/>
        </w:rPr>
      </w:pPr>
    </w:p>
    <w:p w:rsidR="0063599E" w:rsidRPr="0063599E" w:rsidRDefault="0063599E" w:rsidP="002E0A2A">
      <w:pPr>
        <w:rPr>
          <w:lang w:val="bg-BG" w:eastAsia="en-US"/>
        </w:rPr>
      </w:pPr>
    </w:p>
    <w:p w:rsidR="00B85BCD" w:rsidRPr="00096AA1" w:rsidRDefault="006A7AAF" w:rsidP="00B85BCD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6. </w:t>
      </w:r>
      <w:r w:rsidR="003F5FB9" w:rsidRPr="00096AA1">
        <w:rPr>
          <w:rFonts w:ascii="Verdana" w:hAnsi="Verdana"/>
          <w:i/>
          <w:sz w:val="24"/>
          <w:szCs w:val="24"/>
        </w:rPr>
        <w:t>Анализ на резултатите</w:t>
      </w:r>
    </w:p>
    <w:p w:rsidR="003D7A0C" w:rsidRDefault="003D7A0C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</w:p>
    <w:p w:rsidR="006500C9" w:rsidRPr="00096AA1" w:rsidRDefault="006652D5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>През отчетния период</w:t>
      </w:r>
      <w:r w:rsidR="000A4063">
        <w:rPr>
          <w:rFonts w:ascii="Verdana" w:hAnsi="Verdana"/>
          <w:b w:val="0"/>
          <w:sz w:val="24"/>
          <w:szCs w:val="24"/>
          <w:lang w:val="en-US"/>
        </w:rPr>
        <w:t>,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с </w:t>
      </w:r>
      <w:r w:rsidR="00980A49">
        <w:rPr>
          <w:rFonts w:ascii="Verdana" w:hAnsi="Verdana"/>
          <w:b w:val="0"/>
          <w:sz w:val="24"/>
          <w:szCs w:val="24"/>
        </w:rPr>
        <w:t xml:space="preserve">повишаване на температурите </w:t>
      </w:r>
      <w:r w:rsidR="00080236">
        <w:rPr>
          <w:rFonts w:ascii="Verdana" w:hAnsi="Verdana"/>
          <w:b w:val="0"/>
          <w:sz w:val="24"/>
          <w:szCs w:val="24"/>
        </w:rPr>
        <w:t xml:space="preserve">се </w:t>
      </w:r>
      <w:r w:rsidR="00980A49">
        <w:rPr>
          <w:rFonts w:ascii="Verdana" w:hAnsi="Verdana"/>
          <w:b w:val="0"/>
          <w:sz w:val="24"/>
          <w:szCs w:val="24"/>
        </w:rPr>
        <w:t xml:space="preserve">засилва </w:t>
      </w:r>
      <w:r w:rsidR="00080236">
        <w:rPr>
          <w:rFonts w:ascii="Verdana" w:hAnsi="Verdana"/>
          <w:b w:val="0"/>
          <w:sz w:val="24"/>
          <w:szCs w:val="24"/>
        </w:rPr>
        <w:t>и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 слънчевата радиация</w:t>
      </w:r>
      <w:r w:rsidR="00080236">
        <w:rPr>
          <w:rFonts w:ascii="Verdana" w:hAnsi="Verdana"/>
          <w:b w:val="0"/>
          <w:sz w:val="24"/>
          <w:szCs w:val="24"/>
        </w:rPr>
        <w:t>. Регистрираните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</w:t>
      </w:r>
      <w:r w:rsidRPr="00096AA1">
        <w:rPr>
          <w:rFonts w:ascii="Verdana" w:hAnsi="Verdana"/>
          <w:b w:val="0"/>
          <w:sz w:val="24"/>
          <w:szCs w:val="24"/>
        </w:rPr>
        <w:t xml:space="preserve">нива на разглеждания замърсител </w:t>
      </w:r>
      <w:r w:rsidR="00980A49">
        <w:rPr>
          <w:rFonts w:ascii="Verdana" w:hAnsi="Verdana"/>
          <w:b w:val="0"/>
          <w:sz w:val="24"/>
          <w:szCs w:val="24"/>
        </w:rPr>
        <w:t>се увеличават</w:t>
      </w:r>
      <w:r w:rsidRPr="00096AA1">
        <w:rPr>
          <w:rFonts w:ascii="Verdana" w:hAnsi="Verdana"/>
          <w:b w:val="0"/>
          <w:sz w:val="24"/>
          <w:szCs w:val="24"/>
        </w:rPr>
        <w:t xml:space="preserve">. </w:t>
      </w:r>
      <w:r w:rsidR="00980A49">
        <w:rPr>
          <w:rFonts w:ascii="Verdana" w:hAnsi="Verdana"/>
          <w:b w:val="0"/>
          <w:sz w:val="24"/>
          <w:szCs w:val="24"/>
        </w:rPr>
        <w:t xml:space="preserve">Тенденцията  към повишаване на регистрираните стойности се запазва до м. </w:t>
      </w:r>
      <w:r w:rsidR="00080236">
        <w:rPr>
          <w:rFonts w:ascii="Verdana" w:hAnsi="Verdana"/>
          <w:b w:val="0"/>
          <w:sz w:val="24"/>
          <w:szCs w:val="24"/>
        </w:rPr>
        <w:t>ю</w:t>
      </w:r>
      <w:r w:rsidR="00980A49">
        <w:rPr>
          <w:rFonts w:ascii="Verdana" w:hAnsi="Verdana"/>
          <w:b w:val="0"/>
          <w:sz w:val="24"/>
          <w:szCs w:val="24"/>
        </w:rPr>
        <w:t xml:space="preserve">ли, след което започва плавно да се понижават. </w:t>
      </w:r>
      <w:r w:rsidRPr="00096AA1">
        <w:rPr>
          <w:rFonts w:ascii="Verdana" w:hAnsi="Verdana"/>
          <w:b w:val="0"/>
          <w:sz w:val="24"/>
          <w:szCs w:val="24"/>
        </w:rPr>
        <w:t>(Фиг.2)</w:t>
      </w:r>
      <w:r w:rsidR="005600A0" w:rsidRPr="00096AA1">
        <w:rPr>
          <w:rFonts w:ascii="Verdana" w:hAnsi="Verdana"/>
          <w:b w:val="0"/>
          <w:sz w:val="24"/>
          <w:szCs w:val="24"/>
        </w:rPr>
        <w:t>.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</w:p>
    <w:p w:rsidR="006652D5" w:rsidRPr="00096AA1" w:rsidRDefault="006500C9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Регистрираните нива по този показател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са под 180 </w:t>
      </w:r>
      <w:proofErr w:type="spellStart"/>
      <w:r w:rsidR="006652D5" w:rsidRPr="00096AA1">
        <w:rPr>
          <w:rFonts w:ascii="Verdana" w:hAnsi="Verdana"/>
          <w:b w:val="0"/>
          <w:sz w:val="24"/>
          <w:szCs w:val="24"/>
        </w:rPr>
        <w:t>μg</w:t>
      </w:r>
      <w:proofErr w:type="spellEnd"/>
      <w:r w:rsidR="006652D5" w:rsidRPr="00096AA1">
        <w:rPr>
          <w:rFonts w:ascii="Verdana" w:hAnsi="Verdana"/>
          <w:b w:val="0"/>
          <w:sz w:val="24"/>
          <w:szCs w:val="24"/>
        </w:rPr>
        <w:t>/m³</w:t>
      </w:r>
      <w:r w:rsidR="005600A0" w:rsidRPr="00096AA1">
        <w:rPr>
          <w:rFonts w:ascii="Verdana" w:hAnsi="Verdana"/>
          <w:b w:val="0"/>
          <w:sz w:val="24"/>
          <w:szCs w:val="24"/>
        </w:rPr>
        <w:t>(Табл. 2).</w:t>
      </w:r>
      <w:r w:rsidR="006652D5" w:rsidRPr="00096AA1">
        <w:rPr>
          <w:rFonts w:ascii="Verdana" w:hAnsi="Verdana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0D4EA1" w:rsidRDefault="000D4EA1" w:rsidP="000D4EA1">
      <w:pPr>
        <w:pStyle w:val="a5"/>
        <w:rPr>
          <w:rFonts w:ascii="Verdana" w:hAnsi="Verdana"/>
          <w:sz w:val="24"/>
          <w:szCs w:val="24"/>
        </w:rPr>
      </w:pPr>
    </w:p>
    <w:p w:rsidR="002E0A2A" w:rsidRPr="002E0A2A" w:rsidRDefault="002E0A2A" w:rsidP="000D4EA1">
      <w:pPr>
        <w:pStyle w:val="a5"/>
        <w:rPr>
          <w:rFonts w:ascii="Verdana" w:hAnsi="Verdana"/>
          <w:sz w:val="24"/>
          <w:szCs w:val="24"/>
        </w:rPr>
      </w:pPr>
    </w:p>
    <w:p w:rsidR="00C06BE5" w:rsidRPr="00096AA1" w:rsidRDefault="006A7AAF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Фиг.</w:t>
      </w:r>
      <w:r w:rsidR="00A237FD" w:rsidRPr="00096AA1">
        <w:rPr>
          <w:rFonts w:ascii="Verdana" w:hAnsi="Verdana"/>
          <w:sz w:val="24"/>
          <w:szCs w:val="24"/>
          <w:lang w:val="bg-BG"/>
        </w:rPr>
        <w:t>2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8D6436" w:rsidRPr="00096AA1">
        <w:rPr>
          <w:rFonts w:ascii="Verdana" w:hAnsi="Verdana"/>
          <w:sz w:val="24"/>
          <w:szCs w:val="24"/>
        </w:rPr>
        <w:t xml:space="preserve">                     </w:t>
      </w:r>
      <w:r w:rsidR="00AA4B6A">
        <w:rPr>
          <w:rFonts w:ascii="Verdana" w:hAnsi="Verdana"/>
          <w:sz w:val="24"/>
          <w:szCs w:val="24"/>
        </w:rPr>
        <w:t xml:space="preserve">                     </w:t>
      </w:r>
      <w:r w:rsidR="00DE27ED">
        <w:rPr>
          <w:rFonts w:ascii="Verdana" w:hAnsi="Verdana"/>
          <w:sz w:val="24"/>
          <w:szCs w:val="24"/>
          <w:lang w:val="bg-BG"/>
        </w:rPr>
        <w:t xml:space="preserve">   </w:t>
      </w:r>
      <w:r w:rsidR="008D6436" w:rsidRPr="00096AA1">
        <w:rPr>
          <w:rFonts w:ascii="Verdana" w:hAnsi="Verdana"/>
          <w:sz w:val="24"/>
          <w:szCs w:val="24"/>
          <w:lang w:val="bg-BG"/>
        </w:rPr>
        <w:t>фиг.3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</w:t>
      </w:r>
    </w:p>
    <w:p w:rsidR="00475949" w:rsidRDefault="002E0A2A" w:rsidP="00AA4B6A">
      <w:r>
        <w:rPr>
          <w:noProof/>
          <w:lang w:val="bg-BG"/>
        </w:rPr>
        <w:drawing>
          <wp:inline distT="0" distB="0" distL="0" distR="0" wp14:anchorId="5FF16681" wp14:editId="4AF64B03">
            <wp:extent cx="2762250" cy="3771900"/>
            <wp:effectExtent l="0" t="0" r="19050" b="1905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bg-BG"/>
        </w:rPr>
        <w:drawing>
          <wp:inline distT="0" distB="0" distL="0" distR="0" wp14:anchorId="65A89E5C" wp14:editId="10D01B52">
            <wp:extent cx="2771775" cy="3743325"/>
            <wp:effectExtent l="0" t="0" r="9525" b="9525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5949" w:rsidRPr="00475949" w:rsidRDefault="00475949" w:rsidP="00475949"/>
    <w:p w:rsidR="00475949" w:rsidRPr="00475949" w:rsidRDefault="00475949" w:rsidP="00475949"/>
    <w:p w:rsidR="00475949" w:rsidRPr="00475949" w:rsidRDefault="00475949" w:rsidP="00475949"/>
    <w:p w:rsidR="00475949" w:rsidRPr="00475949" w:rsidRDefault="00475949" w:rsidP="00475949"/>
    <w:p w:rsidR="00475949" w:rsidRDefault="00475949" w:rsidP="00475949"/>
    <w:p w:rsidR="00980A49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Наблюдаваното покачване  на стойностите през периода може да се свърже пряко с увеличаване на стойностите на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</w:rPr>
        <w:t>среднодневните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</w:rPr>
        <w:t xml:space="preserve"> температури в съчетание с повишена слънчева радиация.</w:t>
      </w:r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стойтости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за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замърсителя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по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месеци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са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в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правопропорционална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връзка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с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температури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(Табл. 3). </w:t>
      </w:r>
    </w:p>
    <w:p w:rsidR="00980A49" w:rsidRPr="006239B8" w:rsidRDefault="00980A49" w:rsidP="00980A49">
      <w:pPr>
        <w:jc w:val="both"/>
        <w:rPr>
          <w:rFonts w:ascii="Verdana" w:hAnsi="Verdana"/>
          <w:sz w:val="24"/>
          <w:szCs w:val="24"/>
          <w:lang w:val="bg-BG" w:eastAsia="en-US"/>
        </w:rPr>
      </w:pPr>
      <w:r>
        <w:rPr>
          <w:lang w:val="bg-BG" w:eastAsia="en-US"/>
        </w:rPr>
        <w:tab/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На </w:t>
      </w:r>
      <w:r w:rsidRPr="00D2397A">
        <w:rPr>
          <w:rFonts w:ascii="Verdana" w:hAnsi="Verdana"/>
          <w:sz w:val="24"/>
          <w:szCs w:val="24"/>
          <w:lang w:val="bg-BG" w:eastAsia="en-US"/>
        </w:rPr>
        <w:t>фиг. 3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 </w:t>
      </w:r>
      <w:r>
        <w:rPr>
          <w:rFonts w:ascii="Verdana" w:hAnsi="Verdana"/>
          <w:sz w:val="24"/>
          <w:szCs w:val="24"/>
          <w:lang w:val="bg-BG" w:eastAsia="en-US"/>
        </w:rPr>
        <w:t>е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представен</w:t>
      </w:r>
      <w:r>
        <w:rPr>
          <w:rFonts w:ascii="Verdana" w:hAnsi="Verdana"/>
          <w:sz w:val="24"/>
          <w:szCs w:val="24"/>
          <w:lang w:val="bg-BG" w:eastAsia="en-US"/>
        </w:rPr>
        <w:t>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графично зависимостт</w:t>
      </w:r>
      <w:r>
        <w:rPr>
          <w:rFonts w:ascii="Verdana" w:hAnsi="Verdana"/>
          <w:sz w:val="24"/>
          <w:szCs w:val="24"/>
          <w:lang w:val="bg-BG" w:eastAsia="en-US"/>
        </w:rPr>
        <w:t>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между измерените средни</w:t>
      </w:r>
      <w:r>
        <w:rPr>
          <w:rFonts w:ascii="Verdana" w:hAnsi="Verdana"/>
          <w:sz w:val="24"/>
          <w:szCs w:val="24"/>
          <w:lang w:val="bg-BG" w:eastAsia="en-US"/>
        </w:rPr>
        <w:t xml:space="preserve"> и максимални стойности на озон и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максимална температура.</w:t>
      </w:r>
    </w:p>
    <w:p w:rsidR="00980A49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>
        <w:rPr>
          <w:rFonts w:ascii="Verdana" w:hAnsi="Verdana"/>
          <w:b w:val="0"/>
          <w:sz w:val="24"/>
          <w:szCs w:val="24"/>
        </w:rPr>
        <w:t>За ле</w:t>
      </w:r>
      <w:r w:rsidR="00980A49" w:rsidRPr="0059665C">
        <w:rPr>
          <w:rFonts w:ascii="Verdana" w:hAnsi="Verdana"/>
          <w:b w:val="0"/>
          <w:sz w:val="24"/>
          <w:szCs w:val="24"/>
        </w:rPr>
        <w:t>тен период 201</w:t>
      </w:r>
      <w:r w:rsidR="00C2400D">
        <w:rPr>
          <w:rFonts w:ascii="Verdana" w:hAnsi="Verdana"/>
          <w:b w:val="0"/>
          <w:sz w:val="24"/>
          <w:szCs w:val="24"/>
          <w:lang w:val="en-US"/>
        </w:rPr>
        <w:t>6</w:t>
      </w:r>
      <w:r w:rsidR="00980A49" w:rsidRPr="0059665C">
        <w:rPr>
          <w:rFonts w:ascii="Verdana" w:hAnsi="Verdana"/>
          <w:b w:val="0"/>
          <w:sz w:val="24"/>
          <w:szCs w:val="24"/>
        </w:rPr>
        <w:t xml:space="preserve"> г.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</w:t>
      </w:r>
      <w:r w:rsidR="00980A49">
        <w:rPr>
          <w:rFonts w:ascii="Verdana" w:hAnsi="Verdana"/>
          <w:b w:val="0"/>
          <w:sz w:val="24"/>
          <w:szCs w:val="24"/>
        </w:rPr>
        <w:t xml:space="preserve">няма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условия за предприемане на действия </w:t>
      </w:r>
      <w:r w:rsidR="00980A49">
        <w:rPr>
          <w:rFonts w:ascii="Verdana" w:hAnsi="Verdana"/>
          <w:b w:val="0"/>
          <w:sz w:val="24"/>
          <w:szCs w:val="24"/>
        </w:rPr>
        <w:t>при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достигнат праг за </w:t>
      </w:r>
      <w:r w:rsidR="00980A49">
        <w:rPr>
          <w:rFonts w:ascii="Verdana" w:hAnsi="Verdana"/>
          <w:b w:val="0"/>
          <w:sz w:val="24"/>
          <w:szCs w:val="24"/>
        </w:rPr>
        <w:t>предупреждаване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на населението (П</w:t>
      </w:r>
      <w:r w:rsidR="00590BF6">
        <w:rPr>
          <w:rFonts w:ascii="Verdana" w:hAnsi="Verdana"/>
          <w:b w:val="0"/>
          <w:sz w:val="24"/>
          <w:szCs w:val="24"/>
        </w:rPr>
        <w:t>П</w:t>
      </w:r>
      <w:r w:rsidR="00980A49" w:rsidRPr="005C062C">
        <w:rPr>
          <w:rFonts w:ascii="Verdana" w:hAnsi="Verdana"/>
          <w:b w:val="0"/>
          <w:sz w:val="24"/>
          <w:szCs w:val="24"/>
        </w:rPr>
        <w:t>Н - 3 последователни часа</w:t>
      </w:r>
      <w:r w:rsidR="00980A49">
        <w:rPr>
          <w:rFonts w:ascii="Verdana" w:hAnsi="Verdana"/>
          <w:b w:val="0"/>
          <w:sz w:val="24"/>
          <w:szCs w:val="24"/>
        </w:rPr>
        <w:t xml:space="preserve">, с регистрирани стойности от 240 </w:t>
      </w:r>
      <w:proofErr w:type="spellStart"/>
      <w:r w:rsidR="00980A49" w:rsidRPr="00316265">
        <w:rPr>
          <w:rFonts w:ascii="Verdana" w:hAnsi="Verdana"/>
          <w:b w:val="0"/>
          <w:sz w:val="24"/>
          <w:szCs w:val="24"/>
        </w:rPr>
        <w:t>μg</w:t>
      </w:r>
      <w:proofErr w:type="spellEnd"/>
      <w:r w:rsidR="00980A49" w:rsidRPr="00316265">
        <w:rPr>
          <w:rFonts w:ascii="Verdana" w:hAnsi="Verdana"/>
          <w:b w:val="0"/>
          <w:sz w:val="24"/>
          <w:szCs w:val="24"/>
        </w:rPr>
        <w:t>/m³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). </w:t>
      </w:r>
    </w:p>
    <w:p w:rsidR="00980A49" w:rsidRPr="005C062C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 w:rsidRPr="005C062C">
        <w:rPr>
          <w:rFonts w:ascii="Verdana" w:hAnsi="Verdana"/>
          <w:b w:val="0"/>
          <w:sz w:val="24"/>
          <w:szCs w:val="24"/>
        </w:rPr>
        <w:t>Регистрираните данни удовлетворяват критериите за валидност на данните поставени в  таблица 4 от приложение 3 към чл. 5, 6, 7, чл. 18, ал.1 и чл. 19, ал.1 от Наредба № 12/30.07.2010 г.</w:t>
      </w:r>
    </w:p>
    <w:p w:rsidR="00980A49" w:rsidRPr="00096AA1" w:rsidRDefault="00980A49" w:rsidP="00980A49">
      <w:pPr>
        <w:rPr>
          <w:rFonts w:ascii="Verdana" w:hAnsi="Verdana"/>
          <w:color w:val="FF0000"/>
          <w:sz w:val="24"/>
          <w:szCs w:val="24"/>
          <w:lang w:val="bg-BG" w:eastAsia="en-US"/>
        </w:rPr>
      </w:pPr>
    </w:p>
    <w:p w:rsidR="00980A49" w:rsidRPr="00096AA1" w:rsidRDefault="00980A49" w:rsidP="00980A49">
      <w:pPr>
        <w:pStyle w:val="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Pr="00096AA1">
        <w:rPr>
          <w:rFonts w:ascii="Verdana" w:hAnsi="Verdana"/>
          <w:sz w:val="24"/>
          <w:szCs w:val="24"/>
        </w:rPr>
        <w:t>Заключение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5C062C">
        <w:rPr>
          <w:rFonts w:ascii="Verdana" w:hAnsi="Verdana"/>
          <w:sz w:val="24"/>
          <w:szCs w:val="24"/>
          <w:lang w:val="bg-BG"/>
        </w:rPr>
        <w:t>Характерна особеност за летен период (01.І</w:t>
      </w:r>
      <w:r w:rsidRPr="005C062C">
        <w:rPr>
          <w:rFonts w:ascii="Verdana" w:hAnsi="Verdana"/>
          <w:sz w:val="24"/>
          <w:szCs w:val="24"/>
        </w:rPr>
        <w:t>V</w:t>
      </w:r>
      <w:r w:rsidRPr="005C062C">
        <w:rPr>
          <w:rFonts w:ascii="Verdana" w:hAnsi="Verdana"/>
          <w:sz w:val="24"/>
          <w:szCs w:val="24"/>
          <w:lang w:val="bg-BG"/>
        </w:rPr>
        <w:t xml:space="preserve"> – 3</w:t>
      </w:r>
      <w:r w:rsidRPr="005C062C">
        <w:rPr>
          <w:rFonts w:ascii="Verdana" w:hAnsi="Verdana"/>
          <w:sz w:val="24"/>
          <w:szCs w:val="24"/>
        </w:rPr>
        <w:t>0</w:t>
      </w:r>
      <w:r w:rsidRPr="005C062C">
        <w:rPr>
          <w:rFonts w:ascii="Verdana" w:hAnsi="Verdana"/>
          <w:sz w:val="24"/>
          <w:szCs w:val="24"/>
          <w:lang w:val="bg-BG"/>
        </w:rPr>
        <w:t>.</w:t>
      </w:r>
      <w:r w:rsidRPr="005C062C">
        <w:rPr>
          <w:rFonts w:ascii="Verdana" w:hAnsi="Verdana"/>
          <w:sz w:val="24"/>
          <w:szCs w:val="24"/>
        </w:rPr>
        <w:t>IX</w:t>
      </w:r>
      <w:r w:rsidRPr="005C062C">
        <w:rPr>
          <w:rFonts w:ascii="Verdana" w:hAnsi="Verdana"/>
          <w:sz w:val="24"/>
          <w:szCs w:val="24"/>
          <w:lang w:val="bg-BG"/>
        </w:rPr>
        <w:t xml:space="preserve">) е, че с повишаване  на </w:t>
      </w:r>
      <w:r>
        <w:rPr>
          <w:rFonts w:ascii="Verdana" w:hAnsi="Verdana"/>
          <w:sz w:val="24"/>
          <w:szCs w:val="24"/>
          <w:lang w:val="bg-BG"/>
        </w:rPr>
        <w:t xml:space="preserve">температурите и свързаната с нея </w:t>
      </w:r>
      <w:r w:rsidRPr="005C062C">
        <w:rPr>
          <w:rFonts w:ascii="Verdana" w:hAnsi="Verdana"/>
          <w:sz w:val="24"/>
          <w:szCs w:val="24"/>
          <w:lang w:val="bg-BG"/>
        </w:rPr>
        <w:t xml:space="preserve">слънчевата радиация, се  наблюдава  покачване в </w:t>
      </w:r>
      <w:r w:rsidR="005F6586">
        <w:rPr>
          <w:rFonts w:ascii="Verdana" w:hAnsi="Verdana"/>
          <w:sz w:val="24"/>
          <w:szCs w:val="24"/>
          <w:lang w:val="bg-BG"/>
        </w:rPr>
        <w:t xml:space="preserve">измерените </w:t>
      </w:r>
      <w:r w:rsidRPr="005C062C">
        <w:rPr>
          <w:rFonts w:ascii="Verdana" w:hAnsi="Verdana"/>
          <w:sz w:val="24"/>
          <w:szCs w:val="24"/>
          <w:lang w:val="bg-BG"/>
        </w:rPr>
        <w:t>концентрации на О</w:t>
      </w:r>
      <w:r w:rsidRPr="005C062C">
        <w:rPr>
          <w:rFonts w:ascii="Verdana" w:hAnsi="Verdana"/>
          <w:sz w:val="24"/>
          <w:szCs w:val="24"/>
          <w:vertAlign w:val="subscript"/>
          <w:lang w:val="bg-BG"/>
        </w:rPr>
        <w:t>3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, </w:t>
      </w:r>
      <w:r w:rsidRPr="009A3FC2">
        <w:rPr>
          <w:rFonts w:ascii="Verdana" w:hAnsi="Verdana"/>
          <w:sz w:val="24"/>
          <w:szCs w:val="24"/>
          <w:lang w:val="bg-BG"/>
        </w:rPr>
        <w:t>като максим</w:t>
      </w:r>
      <w:r>
        <w:rPr>
          <w:rFonts w:ascii="Verdana" w:hAnsi="Verdana"/>
          <w:sz w:val="24"/>
          <w:szCs w:val="24"/>
          <w:lang w:val="bg-BG"/>
        </w:rPr>
        <w:t xml:space="preserve">алната средна стойност </w:t>
      </w:r>
      <w:r w:rsidRPr="009A3FC2">
        <w:rPr>
          <w:rFonts w:ascii="Verdana" w:hAnsi="Verdana"/>
          <w:sz w:val="24"/>
          <w:szCs w:val="24"/>
          <w:lang w:val="bg-BG"/>
        </w:rPr>
        <w:t>е</w:t>
      </w:r>
      <w:r>
        <w:rPr>
          <w:rFonts w:ascii="Verdana" w:hAnsi="Verdana"/>
          <w:sz w:val="24"/>
          <w:szCs w:val="24"/>
          <w:lang w:val="bg-BG"/>
        </w:rPr>
        <w:t xml:space="preserve"> измерена</w:t>
      </w:r>
      <w:r w:rsidRPr="009A3FC2">
        <w:rPr>
          <w:rFonts w:ascii="Verdana" w:hAnsi="Verdana"/>
          <w:sz w:val="24"/>
          <w:szCs w:val="24"/>
          <w:lang w:val="bg-BG"/>
        </w:rPr>
        <w:t xml:space="preserve"> през м.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 xml:space="preserve">юли. </w:t>
      </w:r>
      <w:r w:rsidRPr="00A8001B">
        <w:rPr>
          <w:rFonts w:ascii="Verdana" w:hAnsi="Verdana"/>
          <w:sz w:val="24"/>
          <w:szCs w:val="24"/>
          <w:lang w:val="bg-BG"/>
        </w:rPr>
        <w:t>През периода</w:t>
      </w:r>
      <w:r w:rsidRPr="00A8001B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>не са създавани</w:t>
      </w:r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условия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предприемане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на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действия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r w:rsidR="00BA236C">
        <w:rPr>
          <w:rFonts w:ascii="Verdana" w:hAnsi="Verdana"/>
          <w:sz w:val="24"/>
          <w:szCs w:val="24"/>
          <w:lang w:val="bg-BG"/>
        </w:rPr>
        <w:t xml:space="preserve">предупреждаване </w:t>
      </w:r>
      <w:proofErr w:type="spellStart"/>
      <w:r>
        <w:rPr>
          <w:rFonts w:ascii="Verdana" w:hAnsi="Verdana"/>
          <w:sz w:val="24"/>
          <w:szCs w:val="24"/>
        </w:rPr>
        <w:t>на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населението</w:t>
      </w:r>
      <w:proofErr w:type="spellEnd"/>
      <w:r>
        <w:rPr>
          <w:rFonts w:ascii="Verdana" w:hAnsi="Verdana"/>
          <w:sz w:val="24"/>
          <w:szCs w:val="24"/>
        </w:rPr>
        <w:t xml:space="preserve"> (П</w:t>
      </w:r>
      <w:r w:rsidR="00BA236C">
        <w:rPr>
          <w:rFonts w:ascii="Verdana" w:hAnsi="Verdana"/>
          <w:sz w:val="24"/>
          <w:szCs w:val="24"/>
          <w:lang w:val="bg-BG"/>
        </w:rPr>
        <w:t>П</w:t>
      </w:r>
      <w:r w:rsidRPr="005C062C">
        <w:rPr>
          <w:rFonts w:ascii="Verdana" w:hAnsi="Verdana"/>
          <w:sz w:val="24"/>
          <w:szCs w:val="24"/>
        </w:rPr>
        <w:t>Н</w:t>
      </w:r>
      <w:r w:rsidRPr="005C062C">
        <w:rPr>
          <w:rFonts w:ascii="Verdana" w:hAnsi="Verdana"/>
          <w:sz w:val="24"/>
          <w:szCs w:val="24"/>
          <w:lang w:val="bg-BG"/>
        </w:rPr>
        <w:t>)</w:t>
      </w:r>
      <w:r w:rsidRPr="005C062C">
        <w:rPr>
          <w:rFonts w:ascii="Verdana" w:hAnsi="Verdana"/>
          <w:sz w:val="24"/>
          <w:szCs w:val="24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 xml:space="preserve">(стойности от </w:t>
      </w:r>
      <w:r>
        <w:rPr>
          <w:rFonts w:ascii="Verdana" w:hAnsi="Verdana"/>
          <w:sz w:val="24"/>
          <w:szCs w:val="24"/>
          <w:lang w:val="bg-BG"/>
        </w:rPr>
        <w:t>240</w:t>
      </w:r>
      <w:r w:rsidRPr="005C062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μg</w:t>
      </w:r>
      <w:proofErr w:type="spellEnd"/>
      <w:r w:rsidRPr="005C062C">
        <w:rPr>
          <w:rFonts w:ascii="Verdana" w:hAnsi="Verdana"/>
          <w:sz w:val="24"/>
          <w:szCs w:val="24"/>
        </w:rPr>
        <w:t>/m³</w:t>
      </w:r>
      <w:r w:rsidRPr="005C062C">
        <w:rPr>
          <w:rFonts w:ascii="Verdana" w:hAnsi="Verdana"/>
          <w:sz w:val="24"/>
          <w:szCs w:val="24"/>
          <w:lang w:val="bg-BG"/>
        </w:rPr>
        <w:t xml:space="preserve"> , измерени в </w:t>
      </w:r>
      <w:r w:rsidRPr="005C062C">
        <w:rPr>
          <w:rFonts w:ascii="Verdana" w:hAnsi="Verdana"/>
          <w:sz w:val="24"/>
          <w:szCs w:val="24"/>
        </w:rPr>
        <w:t xml:space="preserve">3 </w:t>
      </w:r>
      <w:proofErr w:type="spellStart"/>
      <w:r w:rsidRPr="005C062C">
        <w:rPr>
          <w:rFonts w:ascii="Verdana" w:hAnsi="Verdana"/>
          <w:sz w:val="24"/>
          <w:szCs w:val="24"/>
        </w:rPr>
        <w:t>последователни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часа</w:t>
      </w:r>
      <w:proofErr w:type="spellEnd"/>
      <w:r w:rsidRPr="005C062C">
        <w:rPr>
          <w:rFonts w:ascii="Verdana" w:hAnsi="Verdana"/>
          <w:sz w:val="24"/>
          <w:szCs w:val="24"/>
        </w:rPr>
        <w:t>).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Съгласно  раздел ІІ от приложение № 3 към чл. 5, 6, 7, чл. 18, ал.1 и чл. 19, ал. 1 от Наредба № 12/30.07.2010 г. съответствието с КЦН  за опазване на човешкото здраве се оценява от 01.</w:t>
      </w:r>
      <w:proofErr w:type="spellStart"/>
      <w:r>
        <w:rPr>
          <w:rFonts w:ascii="Verdana" w:hAnsi="Verdana"/>
          <w:sz w:val="24"/>
          <w:szCs w:val="24"/>
          <w:lang w:val="bg-BG"/>
        </w:rPr>
        <w:t>01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.2010 г., като се използват данните от следващите три или пет календарни години. </w:t>
      </w:r>
    </w:p>
    <w:p w:rsidR="00980A49" w:rsidRPr="00046C2D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За периода от </w:t>
      </w:r>
      <w:r w:rsidR="00652858">
        <w:rPr>
          <w:rFonts w:ascii="Verdana" w:hAnsi="Verdana"/>
          <w:sz w:val="24"/>
          <w:szCs w:val="24"/>
          <w:lang w:val="bg-BG"/>
        </w:rPr>
        <w:t>30.09</w:t>
      </w:r>
      <w:r>
        <w:rPr>
          <w:rFonts w:ascii="Verdana" w:hAnsi="Verdana"/>
          <w:sz w:val="24"/>
          <w:szCs w:val="24"/>
          <w:lang w:val="bg-BG"/>
        </w:rPr>
        <w:t>.201</w:t>
      </w:r>
      <w:r w:rsidR="006F6E3E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  <w:lang w:val="bg-BG"/>
        </w:rPr>
        <w:t xml:space="preserve"> г. до 30.09.201</w:t>
      </w:r>
      <w:r w:rsidR="00C2400D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  <w:lang w:val="bg-BG"/>
        </w:rPr>
        <w:t xml:space="preserve"> г. в АИС „Каменица” са регистрирани </w:t>
      </w:r>
      <w:r w:rsidRPr="0052225F">
        <w:rPr>
          <w:rFonts w:ascii="Verdana" w:hAnsi="Verdana"/>
          <w:sz w:val="24"/>
          <w:szCs w:val="24"/>
          <w:lang w:val="bg-BG"/>
        </w:rPr>
        <w:t>общо</w:t>
      </w:r>
      <w:r w:rsidR="0052225F" w:rsidRPr="0052225F">
        <w:rPr>
          <w:rFonts w:ascii="Verdana" w:hAnsi="Verdana"/>
          <w:sz w:val="24"/>
          <w:szCs w:val="24"/>
          <w:lang w:val="bg-BG"/>
        </w:rPr>
        <w:t xml:space="preserve"> </w:t>
      </w:r>
      <w:r w:rsidR="00A572CA" w:rsidRPr="00A572CA">
        <w:rPr>
          <w:rFonts w:ascii="Verdana" w:hAnsi="Verdana"/>
          <w:sz w:val="24"/>
          <w:szCs w:val="24"/>
        </w:rPr>
        <w:t>2</w:t>
      </w:r>
      <w:r w:rsidR="00A572CA">
        <w:rPr>
          <w:rFonts w:ascii="Verdana" w:hAnsi="Verdana"/>
          <w:sz w:val="24"/>
          <w:szCs w:val="24"/>
        </w:rPr>
        <w:t>3</w:t>
      </w:r>
      <w:r w:rsidRPr="0052225F">
        <w:rPr>
          <w:rFonts w:ascii="Verdana" w:hAnsi="Verdana"/>
          <w:sz w:val="24"/>
          <w:szCs w:val="24"/>
          <w:lang w:val="bg-BG"/>
        </w:rPr>
        <w:t xml:space="preserve">  </w:t>
      </w:r>
      <w:r>
        <w:rPr>
          <w:rFonts w:ascii="Verdana" w:hAnsi="Verdana"/>
          <w:sz w:val="24"/>
          <w:szCs w:val="24"/>
          <w:lang w:val="bg-BG"/>
        </w:rPr>
        <w:t xml:space="preserve">дни (общо за целия период) с превишения на КЦН за опазване на човешкото здраве, т. е. под нормативно определеното, а именно КЦН да не се превишава повече 25 дни на календарна година, осреднено за </w:t>
      </w:r>
      <w:r w:rsidR="00652858">
        <w:rPr>
          <w:rFonts w:ascii="Verdana" w:hAnsi="Verdana"/>
          <w:sz w:val="24"/>
          <w:szCs w:val="24"/>
          <w:lang w:val="bg-BG"/>
        </w:rPr>
        <w:t xml:space="preserve">три </w:t>
      </w:r>
      <w:r>
        <w:rPr>
          <w:rFonts w:ascii="Verdana" w:hAnsi="Verdana"/>
          <w:sz w:val="24"/>
          <w:szCs w:val="24"/>
          <w:lang w:val="bg-BG"/>
        </w:rPr>
        <w:t>годишен период.</w:t>
      </w:r>
    </w:p>
    <w:p w:rsidR="00980A49" w:rsidRPr="004103C8" w:rsidRDefault="00980A49" w:rsidP="00980A49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F77A1B" w:rsidRDefault="00F77A1B" w:rsidP="00980A49">
      <w:pPr>
        <w:pStyle w:val="2"/>
        <w:jc w:val="both"/>
        <w:rPr>
          <w:rFonts w:ascii="Verdana" w:hAnsi="Verdana"/>
          <w:sz w:val="24"/>
          <w:szCs w:val="24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Pr="005972AF" w:rsidRDefault="005972AF" w:rsidP="005972AF">
      <w:pPr>
        <w:rPr>
          <w:lang w:val="bg-BG" w:eastAsia="en-US"/>
        </w:rPr>
      </w:pPr>
      <w:r>
        <w:rPr>
          <w:lang w:val="bg-BG" w:eastAsia="en-US"/>
        </w:rPr>
        <w:t xml:space="preserve">Изготвил- инж. М. </w:t>
      </w:r>
      <w:proofErr w:type="spellStart"/>
      <w:r>
        <w:rPr>
          <w:lang w:val="bg-BG" w:eastAsia="en-US"/>
        </w:rPr>
        <w:t>Кондаклиева</w:t>
      </w:r>
      <w:proofErr w:type="spellEnd"/>
      <w:r>
        <w:rPr>
          <w:lang w:val="bg-BG" w:eastAsia="en-US"/>
        </w:rPr>
        <w:t>, н-к отдел „КД“</w:t>
      </w:r>
    </w:p>
    <w:sectPr w:rsidR="005972AF" w:rsidRPr="005972AF" w:rsidSect="002E0A2A">
      <w:footerReference w:type="even" r:id="rId12"/>
      <w:footerReference w:type="default" r:id="rId13"/>
      <w:pgSz w:w="11907" w:h="16840" w:code="9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5" w:rsidRDefault="00120E65">
      <w:r>
        <w:separator/>
      </w:r>
    </w:p>
  </w:endnote>
  <w:endnote w:type="continuationSeparator" w:id="0">
    <w:p w:rsidR="00120E65" w:rsidRDefault="001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0AB5">
      <w:rPr>
        <w:rStyle w:val="a4"/>
        <w:noProof/>
      </w:rPr>
      <w:t>7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5" w:rsidRDefault="00120E65">
      <w:r>
        <w:separator/>
      </w:r>
    </w:p>
  </w:footnote>
  <w:footnote w:type="continuationSeparator" w:id="0">
    <w:p w:rsidR="00120E65" w:rsidRDefault="0012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7D086979"/>
    <w:multiLevelType w:val="hybridMultilevel"/>
    <w:tmpl w:val="E0D610B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16C94"/>
    <w:rsid w:val="0001741D"/>
    <w:rsid w:val="000264A7"/>
    <w:rsid w:val="00026D5B"/>
    <w:rsid w:val="00036459"/>
    <w:rsid w:val="000373A9"/>
    <w:rsid w:val="00052515"/>
    <w:rsid w:val="00053259"/>
    <w:rsid w:val="00063F22"/>
    <w:rsid w:val="000671CA"/>
    <w:rsid w:val="000732B9"/>
    <w:rsid w:val="00073B75"/>
    <w:rsid w:val="00080236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D02E2"/>
    <w:rsid w:val="000D1507"/>
    <w:rsid w:val="000D3036"/>
    <w:rsid w:val="000D4EA1"/>
    <w:rsid w:val="000E0F75"/>
    <w:rsid w:val="000F444D"/>
    <w:rsid w:val="00100A79"/>
    <w:rsid w:val="00100D38"/>
    <w:rsid w:val="00106D90"/>
    <w:rsid w:val="00120E65"/>
    <w:rsid w:val="001227E5"/>
    <w:rsid w:val="00123477"/>
    <w:rsid w:val="0013487B"/>
    <w:rsid w:val="001351AD"/>
    <w:rsid w:val="00136BA0"/>
    <w:rsid w:val="00152172"/>
    <w:rsid w:val="00172C32"/>
    <w:rsid w:val="00185009"/>
    <w:rsid w:val="0018547F"/>
    <w:rsid w:val="00196FD1"/>
    <w:rsid w:val="001B2A9B"/>
    <w:rsid w:val="001C425E"/>
    <w:rsid w:val="001D07C1"/>
    <w:rsid w:val="001D0AA6"/>
    <w:rsid w:val="001D68D5"/>
    <w:rsid w:val="001E6424"/>
    <w:rsid w:val="00200CD1"/>
    <w:rsid w:val="00201B10"/>
    <w:rsid w:val="00206714"/>
    <w:rsid w:val="00214905"/>
    <w:rsid w:val="002208F2"/>
    <w:rsid w:val="00231584"/>
    <w:rsid w:val="0023288B"/>
    <w:rsid w:val="00246DFC"/>
    <w:rsid w:val="00252BBC"/>
    <w:rsid w:val="00252D57"/>
    <w:rsid w:val="00292F02"/>
    <w:rsid w:val="002A3654"/>
    <w:rsid w:val="002A5053"/>
    <w:rsid w:val="002A62FB"/>
    <w:rsid w:val="002B3038"/>
    <w:rsid w:val="002C23B3"/>
    <w:rsid w:val="002C384D"/>
    <w:rsid w:val="002E09A0"/>
    <w:rsid w:val="002E0A2A"/>
    <w:rsid w:val="002E1BE9"/>
    <w:rsid w:val="002E5F6F"/>
    <w:rsid w:val="002F5A77"/>
    <w:rsid w:val="00313771"/>
    <w:rsid w:val="0032371F"/>
    <w:rsid w:val="00344097"/>
    <w:rsid w:val="00352058"/>
    <w:rsid w:val="003520E0"/>
    <w:rsid w:val="00355640"/>
    <w:rsid w:val="00362CEE"/>
    <w:rsid w:val="003714E3"/>
    <w:rsid w:val="003729BA"/>
    <w:rsid w:val="0038763F"/>
    <w:rsid w:val="00393155"/>
    <w:rsid w:val="003A2C70"/>
    <w:rsid w:val="003A5BA4"/>
    <w:rsid w:val="003B18C6"/>
    <w:rsid w:val="003C200C"/>
    <w:rsid w:val="003D5D77"/>
    <w:rsid w:val="003D7A0C"/>
    <w:rsid w:val="003F1D71"/>
    <w:rsid w:val="003F5FB9"/>
    <w:rsid w:val="003F75B7"/>
    <w:rsid w:val="0042035E"/>
    <w:rsid w:val="00426CC4"/>
    <w:rsid w:val="00433AC9"/>
    <w:rsid w:val="004363E2"/>
    <w:rsid w:val="004464DC"/>
    <w:rsid w:val="00446E01"/>
    <w:rsid w:val="0046583E"/>
    <w:rsid w:val="00475949"/>
    <w:rsid w:val="004836DB"/>
    <w:rsid w:val="00483BD6"/>
    <w:rsid w:val="0049434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4A5B"/>
    <w:rsid w:val="004F0FCB"/>
    <w:rsid w:val="004F1AFF"/>
    <w:rsid w:val="004F5265"/>
    <w:rsid w:val="004F768A"/>
    <w:rsid w:val="00500AB5"/>
    <w:rsid w:val="005027C1"/>
    <w:rsid w:val="0050707F"/>
    <w:rsid w:val="00507137"/>
    <w:rsid w:val="0052225F"/>
    <w:rsid w:val="005277F6"/>
    <w:rsid w:val="00527A09"/>
    <w:rsid w:val="0053189A"/>
    <w:rsid w:val="00534D6A"/>
    <w:rsid w:val="00543AB7"/>
    <w:rsid w:val="00550CDD"/>
    <w:rsid w:val="005600A0"/>
    <w:rsid w:val="005616D7"/>
    <w:rsid w:val="00580A6C"/>
    <w:rsid w:val="00586F0D"/>
    <w:rsid w:val="00590BF6"/>
    <w:rsid w:val="00595FC4"/>
    <w:rsid w:val="005972AF"/>
    <w:rsid w:val="005B0C67"/>
    <w:rsid w:val="005B59A6"/>
    <w:rsid w:val="005C3EE5"/>
    <w:rsid w:val="005E0407"/>
    <w:rsid w:val="005E48BF"/>
    <w:rsid w:val="005E6BE8"/>
    <w:rsid w:val="005F4300"/>
    <w:rsid w:val="005F4559"/>
    <w:rsid w:val="005F55DC"/>
    <w:rsid w:val="005F6586"/>
    <w:rsid w:val="00604FAC"/>
    <w:rsid w:val="00616619"/>
    <w:rsid w:val="0061675C"/>
    <w:rsid w:val="006310F6"/>
    <w:rsid w:val="00633FEE"/>
    <w:rsid w:val="0063599E"/>
    <w:rsid w:val="006365F8"/>
    <w:rsid w:val="0064519A"/>
    <w:rsid w:val="006500C9"/>
    <w:rsid w:val="00652858"/>
    <w:rsid w:val="006652D5"/>
    <w:rsid w:val="00665FD7"/>
    <w:rsid w:val="0068331F"/>
    <w:rsid w:val="00695EAC"/>
    <w:rsid w:val="006A4641"/>
    <w:rsid w:val="006A6FD7"/>
    <w:rsid w:val="006A77DB"/>
    <w:rsid w:val="006A7AAF"/>
    <w:rsid w:val="006E322F"/>
    <w:rsid w:val="006F6E3E"/>
    <w:rsid w:val="007010D4"/>
    <w:rsid w:val="00701F16"/>
    <w:rsid w:val="007063A9"/>
    <w:rsid w:val="00707DD8"/>
    <w:rsid w:val="00720952"/>
    <w:rsid w:val="007274D8"/>
    <w:rsid w:val="00731B60"/>
    <w:rsid w:val="00733786"/>
    <w:rsid w:val="00740D61"/>
    <w:rsid w:val="0075118B"/>
    <w:rsid w:val="00755D9B"/>
    <w:rsid w:val="0075785B"/>
    <w:rsid w:val="00767E46"/>
    <w:rsid w:val="00772D22"/>
    <w:rsid w:val="00773742"/>
    <w:rsid w:val="00783C74"/>
    <w:rsid w:val="007879F3"/>
    <w:rsid w:val="007951E4"/>
    <w:rsid w:val="007B51CD"/>
    <w:rsid w:val="007C59B7"/>
    <w:rsid w:val="007D1804"/>
    <w:rsid w:val="007D3BAF"/>
    <w:rsid w:val="007D49DD"/>
    <w:rsid w:val="007D4C65"/>
    <w:rsid w:val="007E5DD3"/>
    <w:rsid w:val="007F6AD8"/>
    <w:rsid w:val="008066C9"/>
    <w:rsid w:val="00823535"/>
    <w:rsid w:val="00840F96"/>
    <w:rsid w:val="00856A4A"/>
    <w:rsid w:val="00887A2B"/>
    <w:rsid w:val="00887C38"/>
    <w:rsid w:val="00894C11"/>
    <w:rsid w:val="008A3BC3"/>
    <w:rsid w:val="008C0D80"/>
    <w:rsid w:val="008D0B8A"/>
    <w:rsid w:val="008D2FBA"/>
    <w:rsid w:val="008D6436"/>
    <w:rsid w:val="008D65D1"/>
    <w:rsid w:val="008E4723"/>
    <w:rsid w:val="008F3507"/>
    <w:rsid w:val="008F39F5"/>
    <w:rsid w:val="00904E5D"/>
    <w:rsid w:val="0090609D"/>
    <w:rsid w:val="0091061C"/>
    <w:rsid w:val="009258F0"/>
    <w:rsid w:val="0092621A"/>
    <w:rsid w:val="00926961"/>
    <w:rsid w:val="00927E7C"/>
    <w:rsid w:val="009301E1"/>
    <w:rsid w:val="00951005"/>
    <w:rsid w:val="0096699B"/>
    <w:rsid w:val="00980A49"/>
    <w:rsid w:val="009A4287"/>
    <w:rsid w:val="009B4E69"/>
    <w:rsid w:val="009B751F"/>
    <w:rsid w:val="009D03C5"/>
    <w:rsid w:val="009D2B89"/>
    <w:rsid w:val="009D4C78"/>
    <w:rsid w:val="009E4FB5"/>
    <w:rsid w:val="009F24E6"/>
    <w:rsid w:val="009F5F86"/>
    <w:rsid w:val="00A05002"/>
    <w:rsid w:val="00A1439A"/>
    <w:rsid w:val="00A17117"/>
    <w:rsid w:val="00A237FD"/>
    <w:rsid w:val="00A239BA"/>
    <w:rsid w:val="00A31BC3"/>
    <w:rsid w:val="00A333A5"/>
    <w:rsid w:val="00A43D12"/>
    <w:rsid w:val="00A50237"/>
    <w:rsid w:val="00A572CA"/>
    <w:rsid w:val="00A61262"/>
    <w:rsid w:val="00A74D6D"/>
    <w:rsid w:val="00A758D0"/>
    <w:rsid w:val="00AA116D"/>
    <w:rsid w:val="00AA4B6A"/>
    <w:rsid w:val="00AB16E2"/>
    <w:rsid w:val="00AB4596"/>
    <w:rsid w:val="00AC00F3"/>
    <w:rsid w:val="00AC5F93"/>
    <w:rsid w:val="00AD482A"/>
    <w:rsid w:val="00AE1B4E"/>
    <w:rsid w:val="00AE4EB2"/>
    <w:rsid w:val="00AE6396"/>
    <w:rsid w:val="00AF6B5D"/>
    <w:rsid w:val="00AF771E"/>
    <w:rsid w:val="00B11A85"/>
    <w:rsid w:val="00B13346"/>
    <w:rsid w:val="00B15534"/>
    <w:rsid w:val="00B22DC2"/>
    <w:rsid w:val="00B24E54"/>
    <w:rsid w:val="00B30F51"/>
    <w:rsid w:val="00B33A5D"/>
    <w:rsid w:val="00B45021"/>
    <w:rsid w:val="00B45534"/>
    <w:rsid w:val="00B6625D"/>
    <w:rsid w:val="00B80AD8"/>
    <w:rsid w:val="00B85BCD"/>
    <w:rsid w:val="00B92A09"/>
    <w:rsid w:val="00BA236C"/>
    <w:rsid w:val="00BB172B"/>
    <w:rsid w:val="00BC4E8A"/>
    <w:rsid w:val="00BD7BC4"/>
    <w:rsid w:val="00BE172B"/>
    <w:rsid w:val="00BE3B05"/>
    <w:rsid w:val="00BE72C4"/>
    <w:rsid w:val="00C02701"/>
    <w:rsid w:val="00C05FD2"/>
    <w:rsid w:val="00C06BE5"/>
    <w:rsid w:val="00C14E68"/>
    <w:rsid w:val="00C17E0E"/>
    <w:rsid w:val="00C2135E"/>
    <w:rsid w:val="00C2400D"/>
    <w:rsid w:val="00C3562C"/>
    <w:rsid w:val="00C44D8B"/>
    <w:rsid w:val="00C57829"/>
    <w:rsid w:val="00C6394F"/>
    <w:rsid w:val="00C63C74"/>
    <w:rsid w:val="00C81789"/>
    <w:rsid w:val="00C9088E"/>
    <w:rsid w:val="00CA0362"/>
    <w:rsid w:val="00CA718D"/>
    <w:rsid w:val="00CB0A5F"/>
    <w:rsid w:val="00CB0EE8"/>
    <w:rsid w:val="00CB4F86"/>
    <w:rsid w:val="00CB5CD2"/>
    <w:rsid w:val="00CC39DC"/>
    <w:rsid w:val="00CC77CB"/>
    <w:rsid w:val="00CC7E13"/>
    <w:rsid w:val="00CD28C5"/>
    <w:rsid w:val="00CE30AC"/>
    <w:rsid w:val="00CE6569"/>
    <w:rsid w:val="00CF216B"/>
    <w:rsid w:val="00CF363A"/>
    <w:rsid w:val="00CF46BF"/>
    <w:rsid w:val="00CF630E"/>
    <w:rsid w:val="00D2397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84F44"/>
    <w:rsid w:val="00D94BDF"/>
    <w:rsid w:val="00D96296"/>
    <w:rsid w:val="00DA35B2"/>
    <w:rsid w:val="00DE1FF8"/>
    <w:rsid w:val="00DE27ED"/>
    <w:rsid w:val="00DE32F4"/>
    <w:rsid w:val="00E02C22"/>
    <w:rsid w:val="00E24EC5"/>
    <w:rsid w:val="00E25FF8"/>
    <w:rsid w:val="00E2669D"/>
    <w:rsid w:val="00E37555"/>
    <w:rsid w:val="00E442C9"/>
    <w:rsid w:val="00E45164"/>
    <w:rsid w:val="00E45EEF"/>
    <w:rsid w:val="00E60049"/>
    <w:rsid w:val="00E634B0"/>
    <w:rsid w:val="00E76250"/>
    <w:rsid w:val="00E77BE3"/>
    <w:rsid w:val="00E85417"/>
    <w:rsid w:val="00E87808"/>
    <w:rsid w:val="00E87FD8"/>
    <w:rsid w:val="00E92CB6"/>
    <w:rsid w:val="00E93C61"/>
    <w:rsid w:val="00E95D53"/>
    <w:rsid w:val="00EA366B"/>
    <w:rsid w:val="00EC5040"/>
    <w:rsid w:val="00ED0A73"/>
    <w:rsid w:val="00ED1EBE"/>
    <w:rsid w:val="00EE71F4"/>
    <w:rsid w:val="00EF456E"/>
    <w:rsid w:val="00EF52C4"/>
    <w:rsid w:val="00EF607C"/>
    <w:rsid w:val="00F0335E"/>
    <w:rsid w:val="00F10654"/>
    <w:rsid w:val="00F22737"/>
    <w:rsid w:val="00F23ED2"/>
    <w:rsid w:val="00F27657"/>
    <w:rsid w:val="00F35E23"/>
    <w:rsid w:val="00F5264A"/>
    <w:rsid w:val="00F53C2C"/>
    <w:rsid w:val="00F608B8"/>
    <w:rsid w:val="00F77A1B"/>
    <w:rsid w:val="00F82964"/>
    <w:rsid w:val="00F876E4"/>
    <w:rsid w:val="00F932D5"/>
    <w:rsid w:val="00F95B07"/>
    <w:rsid w:val="00FA5C7E"/>
    <w:rsid w:val="00FA6F9F"/>
    <w:rsid w:val="00FB05C5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Лист1!$B$12:$B$17</c:f>
              <c:numCache>
                <c:formatCode>General</c:formatCode>
                <c:ptCount val="6"/>
                <c:pt idx="0">
                  <c:v>53.74</c:v>
                </c:pt>
                <c:pt idx="1">
                  <c:v>55.37</c:v>
                </c:pt>
                <c:pt idx="2">
                  <c:v>50.11</c:v>
                </c:pt>
                <c:pt idx="3">
                  <c:v>58</c:v>
                </c:pt>
                <c:pt idx="4">
                  <c:v>71.63</c:v>
                </c:pt>
                <c:pt idx="5">
                  <c:v>40.82</c:v>
                </c:pt>
              </c:numCache>
            </c:numRef>
          </c:val>
        </c:ser>
        <c:ser>
          <c:idx val="1"/>
          <c:order val="1"/>
          <c:tx>
            <c:strRef>
              <c:f>Лист1!$C$11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Лист1!$C$12:$C$17</c:f>
              <c:numCache>
                <c:formatCode>General</c:formatCode>
                <c:ptCount val="6"/>
                <c:pt idx="0">
                  <c:v>55.6</c:v>
                </c:pt>
                <c:pt idx="1">
                  <c:v>55.6</c:v>
                </c:pt>
                <c:pt idx="2">
                  <c:v>64.599999999999994</c:v>
                </c:pt>
                <c:pt idx="3">
                  <c:v>86.3</c:v>
                </c:pt>
                <c:pt idx="4">
                  <c:v>77.900000000000006</c:v>
                </c:pt>
                <c:pt idx="5">
                  <c:v>59.1</c:v>
                </c:pt>
              </c:numCache>
            </c:numRef>
          </c:val>
        </c:ser>
        <c:ser>
          <c:idx val="2"/>
          <c:order val="2"/>
          <c:tx>
            <c:strRef>
              <c:f>Лист1!$D$11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Лист1!$D$12:$D$17</c:f>
              <c:numCache>
                <c:formatCode>General</c:formatCode>
                <c:ptCount val="6"/>
                <c:pt idx="0">
                  <c:v>55.74</c:v>
                </c:pt>
                <c:pt idx="1">
                  <c:v>67.61</c:v>
                </c:pt>
                <c:pt idx="2">
                  <c:v>64.430000000000007</c:v>
                </c:pt>
                <c:pt idx="3">
                  <c:v>73.92</c:v>
                </c:pt>
                <c:pt idx="4">
                  <c:v>76.8</c:v>
                </c:pt>
                <c:pt idx="5">
                  <c:v>52.8</c:v>
                </c:pt>
              </c:numCache>
            </c:numRef>
          </c:val>
        </c:ser>
        <c:ser>
          <c:idx val="3"/>
          <c:order val="3"/>
          <c:tx>
            <c:strRef>
              <c:f>Лист1!$E$11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Лист1!$E$12:$E$17</c:f>
              <c:numCache>
                <c:formatCode>General</c:formatCode>
                <c:ptCount val="6"/>
                <c:pt idx="0">
                  <c:v>55.74</c:v>
                </c:pt>
                <c:pt idx="1">
                  <c:v>67.61</c:v>
                </c:pt>
                <c:pt idx="2">
                  <c:v>64.430000000000007</c:v>
                </c:pt>
                <c:pt idx="3">
                  <c:v>73.92</c:v>
                </c:pt>
                <c:pt idx="4">
                  <c:v>76.8</c:v>
                </c:pt>
                <c:pt idx="5">
                  <c:v>52.8</c:v>
                </c:pt>
              </c:numCache>
            </c:numRef>
          </c:val>
        </c:ser>
        <c:ser>
          <c:idx val="4"/>
          <c:order val="4"/>
          <c:tx>
            <c:strRef>
              <c:f>Лист1!$F$11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Лист1!$F$12:$F$17</c:f>
              <c:numCache>
                <c:formatCode>General</c:formatCode>
                <c:ptCount val="6"/>
                <c:pt idx="0">
                  <c:v>50.15</c:v>
                </c:pt>
                <c:pt idx="1">
                  <c:v>55.4</c:v>
                </c:pt>
                <c:pt idx="2">
                  <c:v>59.1</c:v>
                </c:pt>
                <c:pt idx="3">
                  <c:v>65.5</c:v>
                </c:pt>
                <c:pt idx="4">
                  <c:v>67.5</c:v>
                </c:pt>
                <c:pt idx="5">
                  <c:v>44.2</c:v>
                </c:pt>
              </c:numCache>
            </c:numRef>
          </c:val>
        </c:ser>
        <c:ser>
          <c:idx val="5"/>
          <c:order val="5"/>
          <c:tx>
            <c:strRef>
              <c:f>Лист1!$G$11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Лист1!$G$12:$G$17</c:f>
              <c:numCache>
                <c:formatCode>General</c:formatCode>
                <c:ptCount val="6"/>
                <c:pt idx="0">
                  <c:v>62</c:v>
                </c:pt>
                <c:pt idx="1">
                  <c:v>60</c:v>
                </c:pt>
                <c:pt idx="2">
                  <c:v>67</c:v>
                </c:pt>
                <c:pt idx="3">
                  <c:v>77</c:v>
                </c:pt>
                <c:pt idx="4">
                  <c:v>69</c:v>
                </c:pt>
                <c:pt idx="5">
                  <c:v>47</c:v>
                </c:pt>
              </c:numCache>
            </c:numRef>
          </c:val>
        </c:ser>
        <c:ser>
          <c:idx val="6"/>
          <c:order val="6"/>
          <c:tx>
            <c:strRef>
              <c:f>Лист1!$H$11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Лист1!$H$12:$H$17</c:f>
              <c:numCache>
                <c:formatCode>General</c:formatCode>
                <c:ptCount val="6"/>
                <c:pt idx="0">
                  <c:v>50</c:v>
                </c:pt>
                <c:pt idx="1">
                  <c:v>60</c:v>
                </c:pt>
                <c:pt idx="2">
                  <c:v>62</c:v>
                </c:pt>
                <c:pt idx="3">
                  <c:v>78</c:v>
                </c:pt>
                <c:pt idx="4">
                  <c:v>66</c:v>
                </c:pt>
                <c:pt idx="5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42848"/>
        <c:axId val="118366208"/>
      </c:barChart>
      <c:catAx>
        <c:axId val="11854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8366208"/>
        <c:crosses val="autoZero"/>
        <c:auto val="1"/>
        <c:lblAlgn val="ctr"/>
        <c:lblOffset val="100"/>
        <c:noMultiLvlLbl val="0"/>
      </c:catAx>
      <c:valAx>
        <c:axId val="11836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42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Calibri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стойности на </a:t>
            </a:r>
            <a:r>
              <a:rPr lang="bg-BG" sz="800" b="1" i="0" u="none" strike="noStrike" baseline="0">
                <a:effectLst/>
              </a:rPr>
              <a:t>О3 </a:t>
            </a:r>
            <a:r>
              <a:rPr lang="en-US" sz="800" b="1" i="0" u="none" strike="noStrike" baseline="0">
                <a:effectLst/>
              </a:rPr>
              <a:t>(</a:t>
            </a:r>
            <a:r>
              <a:rPr lang="bg-BG" sz="800" b="1" i="0" u="none" strike="noStrike" baseline="0">
                <a:effectLst/>
              </a:rPr>
              <a:t>осреднени по месеци</a:t>
            </a:r>
            <a:r>
              <a:rPr lang="en-US" sz="800" b="1" i="0" u="none" strike="noStrike" baseline="0">
                <a:effectLst/>
              </a:rPr>
              <a:t>)</a:t>
            </a:r>
            <a:r>
              <a:rPr lang="bg-BG" sz="800" baseline="0"/>
              <a:t> </a:t>
            </a:r>
            <a:r>
              <a:rPr lang="bg-BG" sz="800"/>
              <a:t> и ср. температура</a:t>
            </a:r>
          </a:p>
        </c:rich>
      </c:tx>
      <c:layout>
        <c:manualLayout>
          <c:xMode val="edge"/>
          <c:yMode val="edge"/>
          <c:x val="0.2301344918092135"/>
          <c:y val="1.0169145523476232E-2"/>
        </c:manualLayout>
      </c:layout>
      <c:overlay val="0"/>
      <c:spPr>
        <a:noFill/>
        <a:ln w="1242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803005008347252E-2"/>
          <c:y val="0.14020270270270271"/>
          <c:w val="0.91986644407345575"/>
          <c:h val="0.7702702702702702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rgbClr val="993366"/>
            </a:solidFill>
            <a:ln w="15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50</c:v>
                </c:pt>
                <c:pt idx="1">
                  <c:v>60</c:v>
                </c:pt>
                <c:pt idx="2">
                  <c:v>62</c:v>
                </c:pt>
                <c:pt idx="3">
                  <c:v>78</c:v>
                </c:pt>
                <c:pt idx="4">
                  <c:v>66</c:v>
                </c:pt>
                <c:pt idx="5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010880"/>
        <c:axId val="118371392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ln w="1242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16</c:v>
                </c:pt>
                <c:pt idx="1">
                  <c:v>17</c:v>
                </c:pt>
                <c:pt idx="2">
                  <c:v>24</c:v>
                </c:pt>
                <c:pt idx="3">
                  <c:v>26</c:v>
                </c:pt>
                <c:pt idx="4">
                  <c:v>25</c:v>
                </c:pt>
                <c:pt idx="5">
                  <c:v>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Сл.рад.</c:v>
                </c:pt>
              </c:strCache>
            </c:strRef>
          </c:tx>
          <c:spPr>
            <a:ln w="12422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010880"/>
        <c:axId val="118371392"/>
      </c:lineChart>
      <c:catAx>
        <c:axId val="11801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8371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371392"/>
        <c:scaling>
          <c:orientation val="minMax"/>
          <c:max val="200"/>
          <c:min val="0"/>
        </c:scaling>
        <c:delete val="0"/>
        <c:axPos val="l"/>
        <c:majorGridlines>
          <c:spPr>
            <a:ln w="1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8010880"/>
        <c:crosses val="autoZero"/>
        <c:crossBetween val="between"/>
      </c:valAx>
      <c:spPr>
        <a:solidFill>
          <a:srgbClr val="C0C0C0"/>
        </a:solidFill>
        <a:ln w="6211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34384701912265"/>
          <c:y val="0.13513512076629486"/>
          <c:w val="0.17362267716535429"/>
          <c:h val="0.22972966985956189"/>
        </c:manualLayout>
      </c:layout>
      <c:overlay val="0"/>
      <c:spPr>
        <a:solidFill>
          <a:srgbClr val="FFFFFF"/>
        </a:solidFill>
        <a:ln w="1553">
          <a:solidFill>
            <a:srgbClr val="000000"/>
          </a:solidFill>
          <a:prstDash val="solid"/>
        </a:ln>
      </c:spPr>
      <c:txPr>
        <a:bodyPr/>
        <a:lstStyle/>
        <a:p>
          <a:pPr>
            <a:defRPr sz="26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1553">
      <a:solidFill>
        <a:srgbClr val="000000"/>
      </a:solidFill>
      <a:prstDash val="solid"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ср.  и макс. стойности на О3</a:t>
            </a:r>
            <a:r>
              <a:rPr lang="bg-BG" sz="800" baseline="0"/>
              <a:t> </a:t>
            </a:r>
            <a:r>
              <a:rPr lang="en-US" sz="800" baseline="0"/>
              <a:t>(</a:t>
            </a:r>
            <a:r>
              <a:rPr lang="bg-BG" sz="800" baseline="0"/>
              <a:t>осреднени по месеци</a:t>
            </a:r>
            <a:r>
              <a:rPr lang="en-US" sz="800" baseline="0"/>
              <a:t>)</a:t>
            </a:r>
            <a:r>
              <a:rPr lang="bg-BG" sz="800" baseline="0"/>
              <a:t> </a:t>
            </a:r>
            <a:r>
              <a:rPr lang="bg-BG" sz="800"/>
              <a:t>и макс. темппература</a:t>
            </a:r>
          </a:p>
        </c:rich>
      </c:tx>
      <c:layout>
        <c:manualLayout>
          <c:xMode val="edge"/>
          <c:yMode val="edge"/>
          <c:x val="0.20226894318622543"/>
          <c:y val="2.7228199528494056E-2"/>
        </c:manualLayout>
      </c:layout>
      <c:overlay val="0"/>
      <c:spPr>
        <a:noFill/>
        <a:ln w="788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22487223168654175"/>
          <c:w val="0.93167701863354035"/>
          <c:h val="0.67632027257240201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Sheet1!$A$12</c:f>
              <c:strCache>
                <c:ptCount val="1"/>
                <c:pt idx="0">
                  <c:v>Oз ср.ст-т</c:v>
                </c:pt>
              </c:strCache>
            </c:strRef>
          </c:tx>
          <c:spPr>
            <a:solidFill>
              <a:srgbClr val="993366"/>
            </a:solidFill>
            <a:ln w="9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50</c:v>
                </c:pt>
                <c:pt idx="1">
                  <c:v>60</c:v>
                </c:pt>
                <c:pt idx="2">
                  <c:v>62</c:v>
                </c:pt>
                <c:pt idx="3">
                  <c:v>78</c:v>
                </c:pt>
                <c:pt idx="4">
                  <c:v>66</c:v>
                </c:pt>
                <c:pt idx="5">
                  <c:v>45</c:v>
                </c:pt>
              </c:numCache>
            </c:numRef>
          </c:val>
        </c:ser>
        <c:ser>
          <c:idx val="4"/>
          <c:order val="3"/>
          <c:tx>
            <c:strRef>
              <c:f>Sheet1!$A$13</c:f>
              <c:strCache>
                <c:ptCount val="1"/>
                <c:pt idx="0">
                  <c:v>Oз мах.ст-т</c:v>
                </c:pt>
              </c:strCache>
            </c:strRef>
          </c:tx>
          <c:spPr>
            <a:solidFill>
              <a:srgbClr val="660066"/>
            </a:solidFill>
            <a:ln w="39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103</c:v>
                </c:pt>
                <c:pt idx="1">
                  <c:v>119</c:v>
                </c:pt>
                <c:pt idx="2">
                  <c:v>117</c:v>
                </c:pt>
                <c:pt idx="3">
                  <c:v>149</c:v>
                </c:pt>
                <c:pt idx="4">
                  <c:v>145</c:v>
                </c:pt>
                <c:pt idx="5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288384"/>
        <c:axId val="118373120"/>
      </c:barChart>
      <c:lineChart>
        <c:grouping val="standar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</c:v>
                </c:pt>
              </c:strCache>
            </c:strRef>
          </c:tx>
          <c:spPr>
            <a:ln w="788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31</c:v>
                </c:pt>
                <c:pt idx="1">
                  <c:v>32</c:v>
                </c:pt>
                <c:pt idx="2">
                  <c:v>35</c:v>
                </c:pt>
                <c:pt idx="3">
                  <c:v>36</c:v>
                </c:pt>
                <c:pt idx="4">
                  <c:v>36</c:v>
                </c:pt>
                <c:pt idx="5">
                  <c:v>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Sheet1!$A$11</c:f>
              <c:strCache>
                <c:ptCount val="1"/>
                <c:pt idx="0">
                  <c:v>Сл.рад.мах.</c:v>
                </c:pt>
              </c:strCache>
            </c:strRef>
          </c:tx>
          <c:spPr>
            <a:ln w="788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288384"/>
        <c:axId val="118373120"/>
      </c:lineChart>
      <c:catAx>
        <c:axId val="10228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8373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373120"/>
        <c:scaling>
          <c:orientation val="minMax"/>
          <c:max val="200"/>
          <c:min val="0"/>
        </c:scaling>
        <c:delete val="0"/>
        <c:axPos val="l"/>
        <c:majorGridlines>
          <c:spPr>
            <a:ln w="9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02288384"/>
        <c:crosses val="autoZero"/>
        <c:crossBetween val="between"/>
      </c:valAx>
      <c:spPr>
        <a:solidFill>
          <a:srgbClr val="C0C0C0"/>
        </a:solidFill>
        <a:ln w="3940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262944791309311"/>
          <c:y val="0.18398639975856132"/>
          <c:w val="0.18737055208690689"/>
          <c:h val="0.23850078355920359"/>
        </c:manualLayout>
      </c:layout>
      <c:overlay val="0"/>
      <c:spPr>
        <a:solidFill>
          <a:srgbClr val="FFFFFF"/>
        </a:solidFill>
        <a:ln w="985">
          <a:solidFill>
            <a:srgbClr val="000000"/>
          </a:solidFill>
          <a:prstDash val="solid"/>
        </a:ln>
      </c:spPr>
      <c:txPr>
        <a:bodyPr/>
        <a:lstStyle/>
        <a:p>
          <a:pPr>
            <a:defRPr sz="17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85">
      <a:solidFill>
        <a:srgbClr val="000000"/>
      </a:solidFill>
      <a:prstDash val="solid"/>
    </a:ln>
  </c:spPr>
  <c:txPr>
    <a:bodyPr/>
    <a:lstStyle/>
    <a:p>
      <a:pPr>
        <a:defRPr sz="51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0.15172</cdr:x>
      <cdr:y>0.31575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19100" cy="11909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0.16151</cdr:x>
      <cdr:y>0.36125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47674" cy="13522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B098-560B-4528-B76B-8406DD79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1501</Words>
  <Characters>8738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4</vt:lpstr>
      <vt:lpstr>Report 2007 4</vt:lpstr>
    </vt:vector>
  </TitlesOfParts>
  <Company>Air Plovdiv</Company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Mariana Kondaklieva</cp:lastModifiedBy>
  <cp:revision>11</cp:revision>
  <cp:lastPrinted>2015-10-30T09:01:00Z</cp:lastPrinted>
  <dcterms:created xsi:type="dcterms:W3CDTF">2016-11-02T08:04:00Z</dcterms:created>
  <dcterms:modified xsi:type="dcterms:W3CDTF">2016-11-08T10:00:00Z</dcterms:modified>
</cp:coreProperties>
</file>