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FF0163">
        <w:rPr>
          <w:b/>
          <w:i/>
          <w:sz w:val="32"/>
          <w:szCs w:val="32"/>
        </w:rPr>
        <w:t>7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FF0163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201</w:t>
      </w:r>
      <w:r w:rsidR="00FF0163">
        <w:rPr>
          <w:rFonts w:ascii="Verdana" w:hAnsi="Verdana"/>
          <w:sz w:val="24"/>
          <w:szCs w:val="24"/>
        </w:rPr>
        <w:t>8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0.201</w:t>
      </w:r>
      <w:r w:rsidR="00FF0163">
        <w:rPr>
          <w:rFonts w:ascii="Verdana" w:hAnsi="Verdana"/>
          <w:b w:val="0"/>
          <w:sz w:val="20"/>
          <w:lang w:val="en-US"/>
        </w:rPr>
        <w:t>7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Pr="006257C9">
        <w:rPr>
          <w:rFonts w:ascii="Verdana" w:hAnsi="Verdana"/>
          <w:b w:val="0"/>
          <w:sz w:val="20"/>
        </w:rPr>
        <w:t>.201</w:t>
      </w:r>
      <w:r w:rsidR="00FF0163">
        <w:rPr>
          <w:rFonts w:ascii="Verdana" w:hAnsi="Verdana"/>
          <w:b w:val="0"/>
          <w:sz w:val="20"/>
          <w:lang w:val="en-US"/>
        </w:rPr>
        <w:t>8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.201</w:t>
      </w:r>
      <w:r w:rsidR="00FF0163">
        <w:rPr>
          <w:rFonts w:ascii="Verdana" w:hAnsi="Verdana"/>
          <w:b/>
          <w:i/>
        </w:rPr>
        <w:t>7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.201</w:t>
      </w:r>
      <w:r w:rsidR="00FF0163">
        <w:rPr>
          <w:rFonts w:ascii="Verdana" w:hAnsi="Verdana"/>
          <w:b/>
          <w:i/>
        </w:rPr>
        <w:t>8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</w:t>
      </w:r>
      <w:proofErr w:type="spellStart"/>
      <w:r w:rsidRPr="00092F89">
        <w:rPr>
          <w:rFonts w:ascii="Verdana" w:hAnsi="Verdana"/>
          <w:iCs/>
          <w:lang w:val="ru-RU"/>
        </w:rPr>
        <w:t>високите</w:t>
      </w:r>
      <w:proofErr w:type="spellEnd"/>
      <w:r w:rsidRPr="00092F89">
        <w:rPr>
          <w:rFonts w:ascii="Verdana" w:hAnsi="Verdana"/>
          <w:iCs/>
          <w:lang w:val="ru-RU"/>
        </w:rPr>
        <w:t xml:space="preserve"> нива на </w:t>
      </w:r>
      <w:proofErr w:type="spellStart"/>
      <w:r w:rsidRPr="00092F89">
        <w:rPr>
          <w:rFonts w:ascii="Verdana" w:hAnsi="Verdana"/>
          <w:lang w:val="ru-RU"/>
        </w:rPr>
        <w:t>фините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прахови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частици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допринасят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също</w:t>
      </w:r>
      <w:proofErr w:type="spellEnd"/>
      <w:r w:rsidRPr="00092F89">
        <w:rPr>
          <w:rFonts w:ascii="Verdana" w:hAnsi="Verdana"/>
          <w:iCs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lang w:val="ru-RU"/>
        </w:rPr>
        <w:t>специфичните</w:t>
      </w:r>
      <w:proofErr w:type="spellEnd"/>
      <w:r w:rsidRPr="00092F89">
        <w:rPr>
          <w:rFonts w:ascii="Verdana" w:hAnsi="Verdana"/>
          <w:iCs/>
          <w:lang w:val="ru-RU"/>
        </w:rPr>
        <w:t xml:space="preserve">  </w:t>
      </w:r>
      <w:proofErr w:type="spellStart"/>
      <w:r w:rsidRPr="00092F89">
        <w:rPr>
          <w:rFonts w:ascii="Verdana" w:hAnsi="Verdana"/>
          <w:iCs/>
          <w:lang w:val="ru-RU"/>
        </w:rPr>
        <w:t>метеорологични</w:t>
      </w:r>
      <w:proofErr w:type="spellEnd"/>
      <w:r w:rsidRPr="00092F89">
        <w:rPr>
          <w:rFonts w:ascii="Verdana" w:hAnsi="Verdana"/>
          <w:iCs/>
          <w:lang w:val="ru-RU"/>
        </w:rPr>
        <w:t xml:space="preserve"> условия в района – </w:t>
      </w:r>
      <w:proofErr w:type="spellStart"/>
      <w:r w:rsidRPr="00092F89">
        <w:rPr>
          <w:rFonts w:ascii="Verdana" w:hAnsi="Verdana"/>
          <w:iCs/>
          <w:lang w:val="ru-RU"/>
        </w:rPr>
        <w:t>голям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брой</w:t>
      </w:r>
      <w:proofErr w:type="spellEnd"/>
      <w:r w:rsidRPr="00092F89">
        <w:rPr>
          <w:rFonts w:ascii="Verdana" w:hAnsi="Verdana"/>
          <w:iCs/>
          <w:lang w:val="ru-RU"/>
        </w:rPr>
        <w:t xml:space="preserve"> дни с тихо </w:t>
      </w:r>
      <w:proofErr w:type="spellStart"/>
      <w:r w:rsidRPr="00092F89">
        <w:rPr>
          <w:rFonts w:ascii="Verdana" w:hAnsi="Verdana"/>
          <w:iCs/>
          <w:lang w:val="ru-RU"/>
        </w:rPr>
        <w:t>време</w:t>
      </w:r>
      <w:proofErr w:type="spellEnd"/>
      <w:r w:rsidRPr="00092F89">
        <w:rPr>
          <w:rFonts w:ascii="Verdana" w:hAnsi="Verdana"/>
          <w:iCs/>
          <w:lang w:val="ru-RU"/>
        </w:rPr>
        <w:t xml:space="preserve"> (</w:t>
      </w:r>
      <w:proofErr w:type="spellStart"/>
      <w:r w:rsidRPr="00092F89">
        <w:rPr>
          <w:rFonts w:ascii="Verdana" w:hAnsi="Verdana"/>
          <w:iCs/>
          <w:lang w:val="ru-RU"/>
        </w:rPr>
        <w:t>скорост</w:t>
      </w:r>
      <w:proofErr w:type="spellEnd"/>
      <w:r w:rsidRPr="00092F89">
        <w:rPr>
          <w:rFonts w:ascii="Verdana" w:hAnsi="Verdana"/>
          <w:iCs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lang w:val="ru-RU"/>
        </w:rPr>
        <w:t>вятъра</w:t>
      </w:r>
      <w:proofErr w:type="spellEnd"/>
      <w:r w:rsidRPr="00092F89">
        <w:rPr>
          <w:rFonts w:ascii="Verdana" w:hAnsi="Verdana"/>
          <w:iCs/>
          <w:lang w:val="ru-RU"/>
        </w:rPr>
        <w:t xml:space="preserve"> под 1,5 </w:t>
      </w:r>
      <w:r w:rsidRPr="00092F89">
        <w:rPr>
          <w:rFonts w:ascii="Verdana" w:hAnsi="Verdana"/>
          <w:iCs/>
        </w:rPr>
        <w:t xml:space="preserve">m/s), </w:t>
      </w:r>
      <w:proofErr w:type="spellStart"/>
      <w:r w:rsidRPr="00092F89">
        <w:rPr>
          <w:rFonts w:ascii="Verdana" w:hAnsi="Verdana"/>
          <w:iCs/>
        </w:rPr>
        <w:t>температурни</w:t>
      </w:r>
      <w:proofErr w:type="spellEnd"/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мъгли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по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поречието</w:t>
      </w:r>
      <w:proofErr w:type="spellEnd"/>
      <w:r w:rsidRPr="00092F89">
        <w:rPr>
          <w:rFonts w:ascii="Verdana" w:hAnsi="Verdana"/>
          <w:iCs/>
          <w:color w:val="000000"/>
          <w:lang w:val="bg-BG"/>
        </w:rPr>
        <w:t xml:space="preserve"> </w:t>
      </w:r>
      <w:proofErr w:type="gramStart"/>
      <w:r w:rsidRPr="00092F89">
        <w:rPr>
          <w:rFonts w:ascii="Verdana" w:hAnsi="Verdana"/>
          <w:iCs/>
          <w:color w:val="000000"/>
          <w:lang w:val="bg-BG"/>
        </w:rPr>
        <w:t>на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реките</w:t>
      </w:r>
      <w:proofErr w:type="spellEnd"/>
      <w:proofErr w:type="gramEnd"/>
      <w:r w:rsidRPr="00092F89">
        <w:rPr>
          <w:rFonts w:ascii="Verdana" w:hAnsi="Verdana"/>
          <w:iCs/>
          <w:color w:val="000000"/>
          <w:lang w:val="ru-RU"/>
        </w:rPr>
        <w:t xml:space="preserve">,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водещо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до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задържане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натрупване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замърсителя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>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>
        <w:rPr>
          <w:rFonts w:ascii="Verdana" w:hAnsi="Verdana"/>
          <w:sz w:val="20"/>
        </w:rPr>
        <w:t>-</w:t>
      </w:r>
      <w:r w:rsidRPr="00092F89">
        <w:rPr>
          <w:rFonts w:ascii="Verdana" w:hAnsi="Verdana"/>
          <w:sz w:val="20"/>
          <w:lang w:val="bg-BG"/>
        </w:rPr>
        <w:t>зимен период – октомври 201</w:t>
      </w:r>
      <w:r w:rsidR="00FF0163">
        <w:rPr>
          <w:rFonts w:ascii="Verdana" w:hAnsi="Verdana"/>
          <w:sz w:val="20"/>
        </w:rPr>
        <w:t>7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201</w:t>
      </w:r>
      <w:r w:rsidR="00FF0163">
        <w:rPr>
          <w:rFonts w:ascii="Verdana" w:hAnsi="Verdana"/>
          <w:sz w:val="20"/>
        </w:rPr>
        <w:t>8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007062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за 201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г.)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6F725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 за 201</w:t>
            </w:r>
            <w:r w:rsidR="006F725D">
              <w:t>5</w:t>
            </w:r>
            <w:r w:rsidR="00A47761"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FF0163">
              <w:rPr>
                <w:rFonts w:ascii="Verdana" w:hAnsi="Verdana"/>
                <w:sz w:val="20"/>
              </w:rPr>
              <w:t>7</w:t>
            </w:r>
            <w:r w:rsidR="001063A6">
              <w:rPr>
                <w:rFonts w:ascii="Verdana" w:hAnsi="Verdana"/>
                <w:sz w:val="20"/>
                <w:lang w:val="bg-BG"/>
              </w:rPr>
              <w:t>-201</w:t>
            </w:r>
            <w:r w:rsidR="00FF0163">
              <w:rPr>
                <w:rFonts w:ascii="Verdana" w:hAnsi="Verdana"/>
                <w:sz w:val="20"/>
              </w:rPr>
              <w:t>8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E377DD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>
              <w:rPr>
                <w:rFonts w:ascii="Verdana" w:hAnsi="Verdana"/>
                <w:sz w:val="20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FF0163">
              <w:rPr>
                <w:rFonts w:ascii="Verdana" w:hAnsi="Verdana"/>
                <w:sz w:val="20"/>
              </w:rPr>
              <w:t>7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-201</w:t>
            </w:r>
            <w:r w:rsidR="00FF0163">
              <w:rPr>
                <w:rFonts w:ascii="Verdana" w:hAnsi="Verdana"/>
                <w:sz w:val="20"/>
              </w:rPr>
              <w:t>8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</w:t>
      </w:r>
      <w:r w:rsidR="00FF0163">
        <w:rPr>
          <w:rFonts w:ascii="Verdana" w:hAnsi="Verdana"/>
          <w:i/>
          <w:sz w:val="20"/>
          <w:lang w:val="en-US"/>
        </w:rPr>
        <w:t>7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.201</w:t>
      </w:r>
      <w:r w:rsidR="00FF0163">
        <w:rPr>
          <w:rFonts w:ascii="Verdana" w:hAnsi="Verdana"/>
          <w:i/>
          <w:sz w:val="20"/>
          <w:lang w:val="en-US"/>
        </w:rPr>
        <w:t>8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0.201</w:t>
      </w:r>
      <w:r w:rsidR="00FF0163">
        <w:rPr>
          <w:rFonts w:ascii="Verdana" w:hAnsi="Verdana"/>
          <w:b/>
          <w:i/>
        </w:rPr>
        <w:t>7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.201</w:t>
      </w:r>
      <w:r w:rsidR="00FF0163">
        <w:rPr>
          <w:rFonts w:ascii="Verdana" w:hAnsi="Verdana"/>
          <w:b/>
          <w:i/>
        </w:rPr>
        <w:t>8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506927775"/>
    <w:bookmarkStart w:id="1" w:name="_MON_1506927821"/>
    <w:bookmarkStart w:id="2" w:name="_MON_1506927891"/>
    <w:bookmarkStart w:id="3" w:name="_MON_1506927943"/>
    <w:bookmarkStart w:id="4" w:name="_MON_1506928007"/>
    <w:bookmarkStart w:id="5" w:name="_MON_1506928063"/>
    <w:bookmarkStart w:id="6" w:name="_MON_1506928086"/>
    <w:bookmarkStart w:id="7" w:name="_MON_1506928098"/>
    <w:bookmarkStart w:id="8" w:name="_MON_1506928139"/>
    <w:bookmarkStart w:id="9" w:name="_MON_1506928192"/>
    <w:bookmarkStart w:id="10" w:name="_MON_1506928301"/>
    <w:bookmarkStart w:id="11" w:name="_MON_1506928425"/>
    <w:bookmarkStart w:id="12" w:name="_MON_1506928713"/>
    <w:bookmarkStart w:id="13" w:name="_MON_1506928915"/>
    <w:bookmarkStart w:id="14" w:name="_MON_1506929301"/>
    <w:bookmarkStart w:id="15" w:name="_MON_1506926021"/>
    <w:bookmarkStart w:id="16" w:name="_MON_1506926158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506926897"/>
    <w:bookmarkEnd w:id="17"/>
    <w:p w:rsidR="0000785A" w:rsidRDefault="001B396D" w:rsidP="0000785A">
      <w:pPr>
        <w:rPr>
          <w:sz w:val="28"/>
        </w:rPr>
      </w:pPr>
      <w:r w:rsidRPr="003D0584">
        <w:rPr>
          <w:sz w:val="28"/>
        </w:rPr>
        <w:object w:dxaOrig="15035" w:dyaOrig="10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515.25pt" o:ole="">
            <v:imagedata r:id="rId11" o:title=""/>
          </v:shape>
          <o:OLEObject Type="Embed" ProgID="Excel.Sheet.8" ShapeID="_x0000_i1025" DrawAspect="Content" ObjectID="_1586764003" r:id="rId12"/>
        </w:object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7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8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24D2E" w:rsidP="001074DF">
      <w:pPr>
        <w:rPr>
          <w:sz w:val="28"/>
          <w:lang w:val="bg-BG"/>
        </w:rPr>
      </w:pPr>
    </w:p>
    <w:p w:rsidR="001D4180" w:rsidRDefault="001D4180" w:rsidP="001074DF">
      <w:pPr>
        <w:rPr>
          <w:sz w:val="28"/>
          <w:lang w:val="bg-BG"/>
        </w:rPr>
      </w:pPr>
    </w:p>
    <w:p w:rsidR="0043127E" w:rsidRDefault="00947AEA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47EA7C54" wp14:editId="514C4FFD">
            <wp:extent cx="5953125" cy="274320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7</w:t>
      </w:r>
      <w:r w:rsidRPr="006257C9">
        <w:rPr>
          <w:rFonts w:ascii="Verdana" w:hAnsi="Verdana"/>
          <w:lang w:val="bg-BG"/>
        </w:rPr>
        <w:t xml:space="preserve"> 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8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20040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lastRenderedPageBreak/>
        <w:t xml:space="preserve">Фини </w:t>
      </w:r>
      <w:proofErr w:type="spellStart"/>
      <w:r w:rsidRPr="006257C9">
        <w:rPr>
          <w:rFonts w:ascii="Verdana" w:hAnsi="Verdana"/>
          <w:b/>
          <w:lang w:val="bg-BG"/>
        </w:rPr>
        <w:t>прахови</w:t>
      </w:r>
      <w:proofErr w:type="spellEnd"/>
      <w:r w:rsidRPr="006257C9">
        <w:rPr>
          <w:rFonts w:ascii="Verdana" w:hAnsi="Verdana"/>
          <w:b/>
          <w:lang w:val="bg-BG"/>
        </w:rPr>
        <w:t xml:space="preserve">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A80208" w:rsidP="00FF0163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201</w:t>
            </w:r>
            <w:r w:rsidR="00FF0163">
              <w:rPr>
                <w:b/>
              </w:rPr>
              <w:t>7</w:t>
            </w:r>
            <w:r>
              <w:rPr>
                <w:b/>
                <w:lang w:val="bg-BG"/>
              </w:rPr>
              <w:t>-201</w:t>
            </w:r>
            <w:r w:rsidR="00FF0163">
              <w:rPr>
                <w:b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29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182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96.77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98.92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6257C9" w:rsidRDefault="00670A62" w:rsidP="00A111F4">
            <w:pPr>
              <w:jc w:val="right"/>
            </w:pPr>
            <w:r>
              <w:t>93.54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97.85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98.38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670A62" w:rsidP="00A111F4">
            <w:pPr>
              <w:jc w:val="right"/>
            </w:pPr>
            <w: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670A62" w:rsidP="00A111F4">
            <w:pPr>
              <w:jc w:val="right"/>
            </w:pPr>
            <w:r>
              <w:t>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102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88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102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670A62" w:rsidP="00A111F4">
            <w:pPr>
              <w:jc w:val="right"/>
            </w:pPr>
            <w:r>
              <w:t>14.9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670A62" w:rsidP="00A111F4">
            <w:pPr>
              <w:jc w:val="right"/>
            </w:pPr>
            <w:r>
              <w:t>32.7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34.1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27.23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33.9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26.8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28.17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27.7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7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4C11DC" w:rsidRPr="006257C9">
        <w:rPr>
          <w:rFonts w:ascii="Verdana" w:hAnsi="Verdana"/>
          <w:lang w:val="bg-BG"/>
        </w:rPr>
        <w:t>.201</w:t>
      </w:r>
      <w:r w:rsidR="00FF0163">
        <w:rPr>
          <w:rFonts w:ascii="Verdana" w:hAnsi="Verdana"/>
        </w:rPr>
        <w:t>8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FF0163" w:rsidRDefault="001D058C" w:rsidP="00A111F4">
            <w:r>
              <w:rPr>
                <w:lang w:val="bg-BG"/>
              </w:rPr>
              <w:t>зима – 201</w:t>
            </w:r>
            <w:r w:rsidR="00FF0163">
              <w:t>7</w:t>
            </w:r>
            <w:r w:rsidR="00FF0163">
              <w:rPr>
                <w:lang w:val="bg-BG"/>
              </w:rPr>
              <w:t>-201</w:t>
            </w:r>
            <w:r w:rsidR="00FF0163">
              <w:t>8</w:t>
            </w:r>
          </w:p>
          <w:p w:rsidR="001D058C" w:rsidRPr="00B80AD8" w:rsidRDefault="001D058C" w:rsidP="00A111F4">
            <w:pPr>
              <w:pStyle w:val="3"/>
            </w:pPr>
            <w:proofErr w:type="spellStart"/>
            <w:r w:rsidRPr="00B80AD8">
              <w:t>Метерология</w:t>
            </w:r>
            <w:proofErr w:type="spellEnd"/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1. Темп.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27.3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1D058C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91AF7"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1D058C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1AF7">
              <w:rPr>
                <w:color w:val="000000"/>
              </w:rPr>
              <w:t>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27.5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470479" w:rsidRDefault="001D058C" w:rsidP="00A111F4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18.2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7.33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 xml:space="preserve">4. Сл.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СЧ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521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711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711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91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193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193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36" w:type="dxa"/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53.33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67.33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F91AF7" w:rsidP="00A111F4">
            <w:pPr>
              <w:jc w:val="right"/>
            </w:pPr>
            <w:r>
              <w:t>60.33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 xml:space="preserve">СЧ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средночасова</w:t>
      </w:r>
      <w:proofErr w:type="spellEnd"/>
      <w:r w:rsidR="001D058C">
        <w:rPr>
          <w:rFonts w:ascii="Verdana" w:hAnsi="Verdana"/>
          <w:lang w:val="bg-BG"/>
        </w:rPr>
        <w:t xml:space="preserve">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proofErr w:type="spellEnd"/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proofErr w:type="spellStart"/>
      <w:r w:rsidR="001D058C">
        <w:rPr>
          <w:rFonts w:ascii="Verdana" w:hAnsi="Verdana"/>
          <w:lang w:val="bg-BG"/>
        </w:rPr>
        <w:t>средноденонощна</w:t>
      </w:r>
      <w:proofErr w:type="spellEnd"/>
      <w:r w:rsidR="001D058C">
        <w:rPr>
          <w:rFonts w:ascii="Verdana" w:hAnsi="Verdana"/>
          <w:lang w:val="bg-BG"/>
        </w:rPr>
        <w:t xml:space="preserve">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Темп. СМ – измерена </w:t>
      </w:r>
      <w:proofErr w:type="spellStart"/>
      <w:r>
        <w:rPr>
          <w:rFonts w:ascii="Verdana" w:hAnsi="Verdana"/>
          <w:lang w:val="bg-BG"/>
        </w:rPr>
        <w:t>средномесечна</w:t>
      </w:r>
      <w:proofErr w:type="spellEnd"/>
      <w:r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</w:t>
      </w:r>
      <w:proofErr w:type="spellStart"/>
      <w:r>
        <w:rPr>
          <w:rFonts w:ascii="Verdana" w:hAnsi="Verdana"/>
          <w:lang w:val="bg-BG"/>
        </w:rPr>
        <w:t>Мах</w:t>
      </w:r>
      <w:proofErr w:type="spellEnd"/>
      <w:r>
        <w:rPr>
          <w:rFonts w:ascii="Verdana" w:hAnsi="Verdana"/>
          <w:lang w:val="bg-BG"/>
        </w:rPr>
        <w:t xml:space="preserve">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 xml:space="preserve">максимална </w:t>
      </w:r>
      <w:proofErr w:type="spellStart"/>
      <w:r>
        <w:rPr>
          <w:rFonts w:ascii="Verdana" w:hAnsi="Verdana"/>
          <w:lang w:val="bg-BG"/>
        </w:rPr>
        <w:t>средночасова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</w:t>
      </w:r>
      <w:proofErr w:type="spellStart"/>
      <w:r w:rsidR="0052486F" w:rsidRPr="00E706F9">
        <w:rPr>
          <w:rFonts w:ascii="Verdana" w:hAnsi="Verdana"/>
          <w:lang w:val="bg-BG"/>
        </w:rPr>
        <w:t>рад</w:t>
      </w:r>
      <w:proofErr w:type="spellEnd"/>
      <w:r w:rsidR="0052486F" w:rsidRPr="00E706F9">
        <w:rPr>
          <w:rFonts w:ascii="Verdana" w:hAnsi="Verdana"/>
          <w:lang w:val="bg-BG"/>
        </w:rPr>
        <w:t xml:space="preserve">.  </w:t>
      </w:r>
      <w:proofErr w:type="spellStart"/>
      <w:r w:rsidR="0052486F" w:rsidRPr="00E706F9">
        <w:rPr>
          <w:rFonts w:ascii="Verdana" w:hAnsi="Verdana"/>
          <w:lang w:val="bg-BG"/>
        </w:rPr>
        <w:t>мах</w:t>
      </w:r>
      <w:proofErr w:type="spellEnd"/>
      <w:r w:rsidR="0052486F" w:rsidRPr="00E706F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</w:t>
      </w:r>
      <w:proofErr w:type="spellStart"/>
      <w:r w:rsidR="0052486F"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6. Сл. </w:t>
      </w:r>
      <w:proofErr w:type="spellStart"/>
      <w:r>
        <w:rPr>
          <w:rFonts w:ascii="Verdana" w:hAnsi="Verdana"/>
          <w:lang w:val="bg-BG"/>
        </w:rPr>
        <w:t>рад</w:t>
      </w:r>
      <w:proofErr w:type="spellEnd"/>
      <w:r>
        <w:rPr>
          <w:rFonts w:ascii="Verdana" w:hAnsi="Verdana"/>
          <w:lang w:val="bg-BG"/>
        </w:rPr>
        <w:t xml:space="preserve">. СМ – </w:t>
      </w:r>
      <w:proofErr w:type="spellStart"/>
      <w:r>
        <w:rPr>
          <w:rFonts w:ascii="Verdana" w:hAnsi="Verdana"/>
          <w:lang w:val="bg-BG"/>
        </w:rPr>
        <w:t>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</w:t>
      </w:r>
      <w:proofErr w:type="spellEnd"/>
      <w:r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ПМ «</w:t>
      </w:r>
      <w:proofErr w:type="spellStart"/>
      <w:r w:rsidRPr="006257C9">
        <w:rPr>
          <w:rFonts w:ascii="Verdana" w:hAnsi="Verdana"/>
          <w:bCs/>
          <w:lang w:val="ru-RU"/>
        </w:rPr>
        <w:t>Долни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Воден</w:t>
      </w:r>
      <w:proofErr w:type="spellEnd"/>
      <w:r w:rsidRPr="006257C9">
        <w:rPr>
          <w:rFonts w:ascii="Verdana" w:hAnsi="Verdana"/>
          <w:bCs/>
          <w:lang w:val="ru-RU"/>
        </w:rPr>
        <w:t>» и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 w:rsidR="003B41BD"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 xml:space="preserve">».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3B41BD">
        <w:rPr>
          <w:rFonts w:ascii="Verdana" w:hAnsi="Verdana"/>
          <w:bCs/>
          <w:lang w:val="ru-RU"/>
        </w:rPr>
        <w:t>зимен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 w:rsidR="003B41BD">
        <w:rPr>
          <w:rFonts w:ascii="Verdana" w:hAnsi="Verdana"/>
          <w:bCs/>
          <w:lang w:val="ru-RU"/>
        </w:rPr>
        <w:t>октомври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</w:t>
      </w:r>
      <w:r w:rsidR="00D30E2A">
        <w:rPr>
          <w:rFonts w:ascii="Verdana" w:hAnsi="Verdana"/>
          <w:bCs/>
        </w:rPr>
        <w:t>7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0870EF">
        <w:rPr>
          <w:rFonts w:ascii="Verdana" w:hAnsi="Verdana"/>
          <w:bCs/>
          <w:lang w:val="ru-RU"/>
        </w:rPr>
        <w:t>март 201</w:t>
      </w:r>
      <w:r w:rsidR="00D30E2A">
        <w:rPr>
          <w:rFonts w:ascii="Verdana" w:hAnsi="Verdana"/>
          <w:bCs/>
        </w:rPr>
        <w:t>8</w:t>
      </w:r>
      <w:r w:rsidR="00927829">
        <w:rPr>
          <w:rFonts w:ascii="Verdana" w:hAnsi="Verdana"/>
          <w:bCs/>
          <w:lang w:val="ru-RU"/>
        </w:rPr>
        <w:t xml:space="preserve">г.- </w:t>
      </w:r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са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регистрирани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превишаващи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нормата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през</w:t>
      </w:r>
      <w:proofErr w:type="spellEnd"/>
      <w:r w:rsidR="00927829">
        <w:rPr>
          <w:rFonts w:ascii="Verdana" w:hAnsi="Verdana"/>
          <w:bCs/>
          <w:lang w:val="ru-RU"/>
        </w:rPr>
        <w:t xml:space="preserve"> </w:t>
      </w:r>
      <w:proofErr w:type="spellStart"/>
      <w:r w:rsidR="00927829">
        <w:rPr>
          <w:rFonts w:ascii="Verdana" w:hAnsi="Verdana"/>
          <w:bCs/>
          <w:lang w:val="ru-RU"/>
        </w:rPr>
        <w:t>месеците</w:t>
      </w:r>
      <w:proofErr w:type="spellEnd"/>
      <w:r w:rsidR="00927829">
        <w:rPr>
          <w:rFonts w:ascii="Verdana" w:hAnsi="Verdana"/>
          <w:bCs/>
          <w:lang w:val="ru-RU"/>
        </w:rPr>
        <w:t xml:space="preserve"> от</w:t>
      </w:r>
      <w:r w:rsidR="00FA39FD">
        <w:rPr>
          <w:rFonts w:ascii="Verdana" w:hAnsi="Verdana"/>
          <w:bCs/>
          <w:lang w:val="ru-RU"/>
        </w:rPr>
        <w:t xml:space="preserve"> </w:t>
      </w:r>
      <w:proofErr w:type="spellStart"/>
      <w:r w:rsidR="00B74059">
        <w:rPr>
          <w:rFonts w:ascii="Verdana" w:hAnsi="Verdana"/>
          <w:bCs/>
          <w:lang w:val="ru-RU"/>
        </w:rPr>
        <w:t>ноември</w:t>
      </w:r>
      <w:proofErr w:type="spellEnd"/>
      <w:r w:rsidR="00FA39FD">
        <w:rPr>
          <w:rFonts w:ascii="Verdana" w:hAnsi="Verdana"/>
          <w:bCs/>
          <w:lang w:val="ru-RU"/>
        </w:rPr>
        <w:t xml:space="preserve"> 201</w:t>
      </w:r>
      <w:r w:rsidR="00FF0163">
        <w:rPr>
          <w:rFonts w:ascii="Verdana" w:hAnsi="Verdana"/>
          <w:bCs/>
        </w:rPr>
        <w:t>7</w:t>
      </w:r>
      <w:r w:rsidR="00FA39FD">
        <w:rPr>
          <w:rFonts w:ascii="Verdana" w:hAnsi="Verdana"/>
          <w:bCs/>
          <w:lang w:val="ru-RU"/>
        </w:rPr>
        <w:t xml:space="preserve">г. до </w:t>
      </w:r>
      <w:proofErr w:type="spellStart"/>
      <w:r w:rsidR="00FA39FD">
        <w:rPr>
          <w:rFonts w:ascii="Verdana" w:hAnsi="Verdana"/>
          <w:bCs/>
          <w:lang w:val="ru-RU"/>
        </w:rPr>
        <w:t>февруари</w:t>
      </w:r>
      <w:proofErr w:type="spellEnd"/>
      <w:r w:rsidR="00FA39FD">
        <w:rPr>
          <w:rFonts w:ascii="Verdana" w:hAnsi="Verdana"/>
          <w:bCs/>
          <w:lang w:val="ru-RU"/>
        </w:rPr>
        <w:t xml:space="preserve"> 201</w:t>
      </w:r>
      <w:r w:rsidR="00FF0163">
        <w:rPr>
          <w:rFonts w:ascii="Verdana" w:hAnsi="Verdana"/>
          <w:bCs/>
        </w:rPr>
        <w:t>8</w:t>
      </w:r>
      <w:r w:rsidR="00927829">
        <w:rPr>
          <w:rFonts w:ascii="Verdana" w:hAnsi="Verdana"/>
          <w:bCs/>
          <w:lang w:val="ru-RU"/>
        </w:rPr>
        <w:t>г.</w:t>
      </w:r>
      <w:r w:rsidR="00193593">
        <w:rPr>
          <w:rFonts w:ascii="Verdana" w:hAnsi="Verdana"/>
          <w:bCs/>
          <w:lang w:val="ru-RU"/>
        </w:rPr>
        <w:t xml:space="preserve">, </w:t>
      </w:r>
      <w:proofErr w:type="spellStart"/>
      <w:r w:rsidR="00193593">
        <w:rPr>
          <w:rFonts w:ascii="Verdana" w:hAnsi="Verdana"/>
          <w:bCs/>
          <w:lang w:val="ru-RU"/>
        </w:rPr>
        <w:t>включително</w:t>
      </w:r>
      <w:proofErr w:type="spellEnd"/>
      <w:r w:rsidR="00193593">
        <w:rPr>
          <w:rFonts w:ascii="Verdana" w:hAnsi="Verdana"/>
          <w:bCs/>
          <w:lang w:val="ru-RU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="002855D0" w:rsidRPr="006257C9">
        <w:rPr>
          <w:rFonts w:ascii="Verdana" w:hAnsi="Verdana"/>
        </w:rPr>
        <w:t>Регистрираните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данни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пунктовете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мониторинг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през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оценявания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период</w:t>
      </w:r>
      <w:proofErr w:type="spellEnd"/>
      <w:r w:rsidR="002855D0" w:rsidRPr="006257C9">
        <w:rPr>
          <w:rFonts w:ascii="Verdana" w:hAnsi="Verdana"/>
        </w:rPr>
        <w:t xml:space="preserve"> – </w:t>
      </w:r>
      <w:r w:rsidR="00FA39FD">
        <w:rPr>
          <w:rFonts w:ascii="Verdana" w:hAnsi="Verdana"/>
          <w:lang w:val="bg-BG"/>
        </w:rPr>
        <w:t>зима</w:t>
      </w:r>
      <w:r w:rsidR="002855D0" w:rsidRPr="006257C9">
        <w:rPr>
          <w:rFonts w:ascii="Verdana" w:hAnsi="Verdana"/>
        </w:rPr>
        <w:t xml:space="preserve"> 201</w:t>
      </w:r>
      <w:r w:rsidR="00FF0163">
        <w:rPr>
          <w:rFonts w:ascii="Verdana" w:hAnsi="Verdana"/>
        </w:rPr>
        <w:t>7</w:t>
      </w:r>
      <w:r w:rsidR="002855D0" w:rsidRPr="006257C9">
        <w:rPr>
          <w:rFonts w:ascii="Verdana" w:hAnsi="Verdana"/>
        </w:rPr>
        <w:t>г.</w:t>
      </w:r>
      <w:r w:rsidR="00FA39FD">
        <w:rPr>
          <w:rFonts w:ascii="Verdana" w:hAnsi="Verdana"/>
          <w:lang w:val="bg-BG"/>
        </w:rPr>
        <w:t>-201</w:t>
      </w:r>
      <w:r w:rsidR="00FF0163">
        <w:rPr>
          <w:rFonts w:ascii="Verdana" w:hAnsi="Verdana"/>
        </w:rPr>
        <w:t>8</w:t>
      </w:r>
      <w:r w:rsidR="00FA39FD">
        <w:rPr>
          <w:rFonts w:ascii="Verdana" w:hAnsi="Verdana"/>
          <w:lang w:val="bg-BG"/>
        </w:rPr>
        <w:t>г.</w:t>
      </w:r>
      <w:r w:rsidR="002855D0" w:rsidRPr="006257C9">
        <w:rPr>
          <w:rFonts w:ascii="Verdana" w:hAnsi="Verdana"/>
        </w:rPr>
        <w:t xml:space="preserve">, </w:t>
      </w:r>
      <w:proofErr w:type="spellStart"/>
      <w:r w:rsidR="002855D0" w:rsidRPr="006257C9">
        <w:rPr>
          <w:rFonts w:ascii="Verdana" w:hAnsi="Verdana"/>
        </w:rPr>
        <w:t>показват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потвърждение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резултатите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получени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направеното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  <w:lang w:val="bg-BG"/>
        </w:rPr>
        <w:t>дисперсионно</w:t>
      </w:r>
      <w:proofErr w:type="spellEnd"/>
      <w:r w:rsidR="00DE3EC1" w:rsidRPr="006257C9">
        <w:rPr>
          <w:rFonts w:ascii="Verdana" w:hAnsi="Verdana"/>
          <w:lang w:val="bg-BG"/>
        </w:rPr>
        <w:t xml:space="preserve">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proofErr w:type="spellStart"/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>та</w:t>
      </w:r>
      <w:proofErr w:type="spellEnd"/>
      <w:r w:rsidR="002855D0" w:rsidRPr="006257C9">
        <w:rPr>
          <w:rFonts w:ascii="Verdana" w:hAnsi="Verdana"/>
        </w:rPr>
        <w:t xml:space="preserve"> </w:t>
      </w:r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моделна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оценка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програмите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подобряване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КАВ, а </w:t>
      </w:r>
      <w:proofErr w:type="spellStart"/>
      <w:r w:rsidR="002855D0" w:rsidRPr="006257C9">
        <w:rPr>
          <w:rFonts w:ascii="Verdana" w:hAnsi="Verdana"/>
        </w:rPr>
        <w:t>именно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ограничено</w:t>
      </w:r>
      <w:proofErr w:type="spellEnd"/>
      <w:r w:rsidR="00DE3EC1" w:rsidRPr="006257C9">
        <w:rPr>
          <w:rFonts w:ascii="Verdana" w:hAnsi="Verdana"/>
        </w:rPr>
        <w:t xml:space="preserve">  </w:t>
      </w:r>
      <w:proofErr w:type="spellStart"/>
      <w:r w:rsidR="00DE3EC1" w:rsidRPr="006257C9">
        <w:rPr>
          <w:rFonts w:ascii="Verdana" w:hAnsi="Verdana"/>
        </w:rPr>
        <w:t>влияние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индустриалните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източници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показател</w:t>
      </w:r>
      <w:proofErr w:type="spellEnd"/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proofErr w:type="spellStart"/>
      <w:r w:rsidR="00DE3EC1" w:rsidRPr="006257C9">
        <w:rPr>
          <w:rFonts w:ascii="Verdana" w:hAnsi="Verdana"/>
        </w:rPr>
        <w:t>за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територията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общини</w:t>
      </w:r>
      <w:proofErr w:type="spellEnd"/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засиления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контрол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от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страна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РИОСВ-</w:t>
      </w:r>
      <w:proofErr w:type="spellStart"/>
      <w:r w:rsidR="00DE3EC1" w:rsidRPr="006257C9">
        <w:rPr>
          <w:rFonts w:ascii="Verdana" w:hAnsi="Verdana"/>
        </w:rPr>
        <w:t>Пловдив</w:t>
      </w:r>
      <w:proofErr w:type="spellEnd"/>
      <w:r w:rsidR="002855D0" w:rsidRPr="006257C9">
        <w:rPr>
          <w:rFonts w:ascii="Verdana" w:hAnsi="Verdana"/>
          <w:lang w:val="bg-BG"/>
        </w:rPr>
        <w:t xml:space="preserve"> и </w:t>
      </w:r>
      <w:r w:rsidR="00584B02">
        <w:rPr>
          <w:rFonts w:ascii="Verdana" w:hAnsi="Verdana"/>
          <w:lang w:val="bg-BG"/>
        </w:rPr>
        <w:t xml:space="preserve">ефективно </w:t>
      </w:r>
      <w:r w:rsidR="002855D0" w:rsidRPr="006257C9">
        <w:rPr>
          <w:rFonts w:ascii="Verdana" w:hAnsi="Verdana"/>
          <w:lang w:val="bg-BG"/>
        </w:rPr>
        <w:t>изпълнение на 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F47D8F" w:rsidRPr="006257C9" w:rsidRDefault="00193593" w:rsidP="00FC6404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Данните от измерването показват, че</w:t>
      </w:r>
      <w:r w:rsidR="00584B02">
        <w:rPr>
          <w:rFonts w:ascii="Verdana" w:hAnsi="Verdana"/>
          <w:lang w:val="bg-BG"/>
        </w:rPr>
        <w:t xml:space="preserve"> н</w:t>
      </w:r>
      <w:r w:rsidR="00124B34" w:rsidRPr="006257C9">
        <w:rPr>
          <w:rFonts w:ascii="Verdana" w:hAnsi="Verdana"/>
          <w:lang w:val="bg-BG"/>
        </w:rPr>
        <w:t xml:space="preserve">ай-съществено влияние върху КАВ, по отношение на фините прахови частици през </w:t>
      </w:r>
      <w:r w:rsidR="00FA39FD">
        <w:rPr>
          <w:rFonts w:ascii="Verdana" w:hAnsi="Verdana"/>
          <w:lang w:val="bg-BG"/>
        </w:rPr>
        <w:t>зимните</w:t>
      </w:r>
      <w:r w:rsidR="00124B34"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="00FA39FD">
        <w:rPr>
          <w:rFonts w:ascii="Verdana" w:hAnsi="Verdana"/>
          <w:lang w:val="bg-BG"/>
        </w:rPr>
        <w:t xml:space="preserve"> отоплението в бита и обществени сгради,</w:t>
      </w:r>
      <w:r w:rsidR="00124B34"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 и промишления сектор</w:t>
      </w:r>
      <w:r w:rsidR="00FC6404">
        <w:rPr>
          <w:rFonts w:ascii="Verdana" w:hAnsi="Verdana"/>
          <w:lang w:val="bg-BG"/>
        </w:rPr>
        <w:t>, в съчетание с неблагоприятните к</w:t>
      </w:r>
      <w:r w:rsidR="00124B34" w:rsidRPr="006257C9">
        <w:rPr>
          <w:rFonts w:ascii="Verdana" w:hAnsi="Verdana"/>
          <w:lang w:val="bg-BG"/>
        </w:rPr>
        <w:t>лиматични условия</w:t>
      </w:r>
      <w:r w:rsidR="00FC6404">
        <w:rPr>
          <w:rFonts w:ascii="Verdana" w:hAnsi="Verdana"/>
          <w:lang w:val="bg-BG"/>
        </w:rPr>
        <w:t xml:space="preserve"> и характерни топографски особености</w:t>
      </w:r>
      <w:r w:rsidR="00124B34" w:rsidRPr="006257C9">
        <w:rPr>
          <w:rFonts w:ascii="Verdana" w:hAnsi="Verdana"/>
          <w:lang w:val="bg-BG"/>
        </w:rPr>
        <w:t xml:space="preserve">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="00124B34"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измерената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температура.</w:t>
      </w:r>
    </w:p>
    <w:p w:rsidR="00193593" w:rsidRDefault="00193593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дърва). Поради големият брой източници </w:t>
      </w:r>
      <w:r w:rsidR="00A250E2"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 xml:space="preserve">фини </w:t>
      </w:r>
      <w:proofErr w:type="spellStart"/>
      <w:r>
        <w:rPr>
          <w:rFonts w:ascii="Verdana" w:hAnsi="Verdana"/>
          <w:lang w:val="bg-BG"/>
        </w:rPr>
        <w:t>прахови</w:t>
      </w:r>
      <w:proofErr w:type="spellEnd"/>
      <w:r>
        <w:rPr>
          <w:rFonts w:ascii="Verdana" w:hAnsi="Verdana"/>
          <w:lang w:val="bg-BG"/>
        </w:rPr>
        <w:t xml:space="preserve">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>
        <w:rPr>
          <w:rFonts w:ascii="Verdana" w:hAnsi="Verdana"/>
          <w:lang w:val="bg-BG"/>
        </w:rPr>
        <w:t xml:space="preserve">. </w:t>
      </w:r>
    </w:p>
    <w:p w:rsidR="003A3691" w:rsidRPr="003521E7" w:rsidRDefault="003C7A8F" w:rsidP="003521E7">
      <w:pPr>
        <w:pStyle w:val="1"/>
        <w:jc w:val="both"/>
        <w:rPr>
          <w:rFonts w:ascii="Verdana" w:hAnsi="Verdana"/>
          <w:sz w:val="20"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434007" w:rsidRPr="003521E7">
        <w:rPr>
          <w:rFonts w:ascii="Verdana" w:hAnsi="Verdana"/>
          <w:b/>
          <w:sz w:val="20"/>
        </w:rPr>
        <w:t xml:space="preserve"> З</w:t>
      </w:r>
      <w:r w:rsidR="00002C1E" w:rsidRPr="003521E7">
        <w:rPr>
          <w:rFonts w:ascii="Verdana" w:hAnsi="Verdana"/>
          <w:b/>
          <w:sz w:val="20"/>
        </w:rPr>
        <w:t xml:space="preserve">ависимост на осреднените по месеци, измерени </w:t>
      </w:r>
      <w:proofErr w:type="spellStart"/>
      <w:r w:rsidR="00002C1E" w:rsidRPr="003521E7">
        <w:rPr>
          <w:rFonts w:ascii="Verdana" w:hAnsi="Verdana"/>
          <w:b/>
          <w:sz w:val="20"/>
        </w:rPr>
        <w:t>средноденонощни</w:t>
      </w:r>
      <w:proofErr w:type="spellEnd"/>
      <w:r w:rsidR="00002C1E" w:rsidRPr="003521E7">
        <w:rPr>
          <w:rFonts w:ascii="Verdana" w:hAnsi="Verdana"/>
          <w:b/>
          <w:sz w:val="20"/>
        </w:rPr>
        <w:t xml:space="preserve"> стойности на ФПЧ</w:t>
      </w:r>
      <w:r w:rsidR="00002C1E" w:rsidRPr="003521E7">
        <w:rPr>
          <w:rFonts w:ascii="Verdana" w:hAnsi="Verdana"/>
          <w:b/>
          <w:sz w:val="20"/>
          <w:vertAlign w:val="subscript"/>
        </w:rPr>
        <w:t>10</w:t>
      </w:r>
      <w:r w:rsidR="00002C1E" w:rsidRPr="003521E7">
        <w:rPr>
          <w:rFonts w:ascii="Verdana" w:hAnsi="Verdana"/>
          <w:b/>
          <w:sz w:val="20"/>
        </w:rPr>
        <w:t xml:space="preserve"> и </w:t>
      </w:r>
      <w:proofErr w:type="spellStart"/>
      <w:r w:rsidR="00002C1E" w:rsidRPr="003521E7">
        <w:rPr>
          <w:rFonts w:ascii="Verdana" w:hAnsi="Verdana"/>
          <w:b/>
          <w:sz w:val="20"/>
        </w:rPr>
        <w:t>средномесечна</w:t>
      </w:r>
      <w:proofErr w:type="spellEnd"/>
      <w:r w:rsidR="00002C1E" w:rsidRPr="003521E7">
        <w:rPr>
          <w:rFonts w:ascii="Verdana" w:hAnsi="Verdana"/>
          <w:b/>
          <w:sz w:val="20"/>
        </w:rPr>
        <w:t xml:space="preserve"> температура</w:t>
      </w:r>
      <w:r w:rsidR="003521E7">
        <w:rPr>
          <w:rFonts w:ascii="Verdana" w:hAnsi="Verdana"/>
          <w:b/>
          <w:sz w:val="20"/>
        </w:rPr>
        <w:t xml:space="preserve"> – </w:t>
      </w:r>
      <w:r w:rsidR="003521E7" w:rsidRPr="003521E7">
        <w:rPr>
          <w:rFonts w:ascii="Verdana" w:hAnsi="Verdana"/>
          <w:sz w:val="20"/>
        </w:rPr>
        <w:t>налице е обратно пропорционална зависимост на</w:t>
      </w:r>
      <w:r w:rsidR="00CC42F2">
        <w:rPr>
          <w:rFonts w:ascii="Verdana" w:hAnsi="Verdana"/>
          <w:sz w:val="20"/>
        </w:rPr>
        <w:t xml:space="preserve"> измерените стойности спрямо </w:t>
      </w:r>
      <w:proofErr w:type="spellStart"/>
      <w:r w:rsidR="00CC42F2">
        <w:rPr>
          <w:rFonts w:ascii="Verdana" w:hAnsi="Verdana"/>
          <w:sz w:val="20"/>
        </w:rPr>
        <w:t>ср</w:t>
      </w:r>
      <w:proofErr w:type="spellEnd"/>
      <w:r w:rsidR="00CC42F2">
        <w:rPr>
          <w:rFonts w:ascii="Verdana" w:hAnsi="Verdana"/>
          <w:sz w:val="20"/>
          <w:lang w:val="en-US"/>
        </w:rPr>
        <w:t>e</w:t>
      </w:r>
      <w:proofErr w:type="spellStart"/>
      <w:r w:rsidR="003521E7" w:rsidRPr="003521E7">
        <w:rPr>
          <w:rFonts w:ascii="Verdana" w:hAnsi="Verdana"/>
          <w:sz w:val="20"/>
        </w:rPr>
        <w:t>дномесечната</w:t>
      </w:r>
      <w:proofErr w:type="spellEnd"/>
      <w:r w:rsidR="003521E7" w:rsidRPr="003521E7">
        <w:rPr>
          <w:rFonts w:ascii="Verdana" w:hAnsi="Verdana"/>
          <w:sz w:val="20"/>
        </w:rPr>
        <w:t xml:space="preserve"> температура.</w:t>
      </w:r>
    </w:p>
    <w:p w:rsidR="00ED6E24" w:rsidRPr="003521E7" w:rsidRDefault="00ED6E24" w:rsidP="00DD0B2F">
      <w:pPr>
        <w:rPr>
          <w:b/>
          <w:lang w:val="bg-BG"/>
        </w:rPr>
      </w:pPr>
    </w:p>
    <w:p w:rsidR="00217EEC" w:rsidRDefault="003521E7" w:rsidP="00203B7C">
      <w:pPr>
        <w:ind w:firstLine="720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09332E19" wp14:editId="0B7C34D9">
            <wp:simplePos x="0" y="0"/>
            <wp:positionH relativeFrom="column">
              <wp:posOffset>-76200</wp:posOffset>
            </wp:positionH>
            <wp:positionV relativeFrom="paragraph">
              <wp:posOffset>144145</wp:posOffset>
            </wp:positionV>
            <wp:extent cx="5886450" cy="3086100"/>
            <wp:effectExtent l="0" t="0" r="19050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3A84CE1B" wp14:editId="13E3A7DF">
            <wp:extent cx="6648450" cy="476250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BD7A6E" w:rsidP="003521E7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  <w:r w:rsidR="003521E7">
        <w:rPr>
          <w:rFonts w:ascii="Verdana" w:hAnsi="Verdana"/>
          <w:b/>
          <w:lang w:val="bg-BG"/>
        </w:rPr>
        <w:t xml:space="preserve"> - </w:t>
      </w:r>
      <w:r w:rsidR="003521E7" w:rsidRPr="003521E7">
        <w:rPr>
          <w:rFonts w:ascii="Verdana" w:hAnsi="Verdana"/>
          <w:lang w:val="bg-BG"/>
        </w:rPr>
        <w:t>и</w:t>
      </w:r>
      <w:r w:rsidR="00011C53" w:rsidRPr="006257C9">
        <w:rPr>
          <w:rFonts w:ascii="Verdana" w:hAnsi="Verdana"/>
          <w:lang w:val="bg-BG"/>
        </w:rPr>
        <w:t>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 xml:space="preserve">тарят зависимостта на </w:t>
      </w:r>
      <w:proofErr w:type="spellStart"/>
      <w:r w:rsidR="001D3C01" w:rsidRPr="006257C9">
        <w:rPr>
          <w:rFonts w:ascii="Verdana" w:hAnsi="Verdana"/>
          <w:lang w:val="bg-BG"/>
        </w:rPr>
        <w:t>средномесечните</w:t>
      </w:r>
      <w:proofErr w:type="spellEnd"/>
      <w:r w:rsidR="001D3C01" w:rsidRPr="006257C9">
        <w:rPr>
          <w:rFonts w:ascii="Verdana" w:hAnsi="Verdana"/>
          <w:lang w:val="bg-BG"/>
        </w:rPr>
        <w:t xml:space="preserve"> стойности</w:t>
      </w:r>
      <w:r w:rsidR="00F73990" w:rsidRPr="006257C9">
        <w:rPr>
          <w:rFonts w:ascii="Verdana" w:hAnsi="Verdana"/>
          <w:lang w:val="bg-BG"/>
        </w:rPr>
        <w:t xml:space="preserve"> (</w:t>
      </w:r>
      <w:r w:rsidR="002307C8">
        <w:rPr>
          <w:rFonts w:ascii="Verdana" w:hAnsi="Verdana"/>
          <w:lang w:val="bg-BG"/>
        </w:rPr>
        <w:t>даден</w:t>
      </w:r>
      <w:r w:rsidR="00096542">
        <w:rPr>
          <w:rFonts w:ascii="Verdana" w:hAnsi="Verdana"/>
          <w:lang w:val="bg-BG"/>
        </w:rPr>
        <w:t>а</w:t>
      </w:r>
      <w:r w:rsidR="002307C8">
        <w:rPr>
          <w:rFonts w:ascii="Verdana" w:hAnsi="Verdana"/>
          <w:lang w:val="bg-BG"/>
        </w:rPr>
        <w:t xml:space="preserve"> на </w:t>
      </w:r>
      <w:r w:rsidR="00F73990" w:rsidRPr="006257C9">
        <w:rPr>
          <w:rFonts w:ascii="Verdana" w:hAnsi="Verdana"/>
          <w:lang w:val="bg-BG"/>
        </w:rPr>
        <w:t xml:space="preserve">фиг. </w:t>
      </w:r>
      <w:r w:rsidR="003521E7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="00011C53"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6257C9">
        <w:rPr>
          <w:rFonts w:ascii="Verdana" w:hAnsi="Verdana"/>
          <w:lang w:val="bg-BG"/>
        </w:rPr>
        <w:t>полиароматни</w:t>
      </w:r>
      <w:proofErr w:type="spellEnd"/>
      <w:r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>ивата на този замърсител са в пряка връзка с увеличеното потребление на твърди горива  за отопление в битовия сектор</w:t>
      </w:r>
      <w:r w:rsidR="00161D49" w:rsidRPr="006257C9">
        <w:rPr>
          <w:rFonts w:ascii="Verdana" w:hAnsi="Verdana"/>
          <w:lang w:val="bg-BG"/>
        </w:rPr>
        <w:t>.</w:t>
      </w:r>
      <w:r w:rsidR="009343D2"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A250E2">
        <w:rPr>
          <w:rFonts w:ascii="Verdana" w:hAnsi="Verdana"/>
          <w:lang w:val="bg-BG"/>
        </w:rPr>
        <w:t>10</w:t>
      </w:r>
      <w:r w:rsidR="00161D49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при МП „Д.Воден”, следван от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D30E2A">
        <w:rPr>
          <w:rFonts w:ascii="Verdana" w:hAnsi="Verdana"/>
          <w:lang w:val="bg-BG"/>
        </w:rPr>
        <w:t>декември</w:t>
      </w:r>
      <w:r w:rsidR="00A250E2">
        <w:rPr>
          <w:rFonts w:ascii="Verdana" w:hAnsi="Verdana"/>
          <w:lang w:val="bg-BG"/>
        </w:rPr>
        <w:t xml:space="preserve"> и </w:t>
      </w:r>
      <w:r w:rsidR="00D30E2A">
        <w:rPr>
          <w:rFonts w:ascii="Verdana" w:hAnsi="Verdana"/>
          <w:lang w:val="bg-BG"/>
        </w:rPr>
        <w:t>ян</w:t>
      </w:r>
      <w:r w:rsidR="00A250E2">
        <w:rPr>
          <w:rFonts w:ascii="Verdana" w:hAnsi="Verdana"/>
          <w:lang w:val="bg-BG"/>
        </w:rPr>
        <w:t>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951642">
        <w:rPr>
          <w:rFonts w:ascii="Verdana" w:hAnsi="Verdana"/>
          <w:lang w:val="bg-BG"/>
        </w:rPr>
        <w:t xml:space="preserve">най-ниски </w:t>
      </w:r>
      <w:proofErr w:type="spellStart"/>
      <w:r w:rsidR="00951642">
        <w:rPr>
          <w:rFonts w:ascii="Verdana" w:hAnsi="Verdana"/>
          <w:lang w:val="bg-BG"/>
        </w:rPr>
        <w:t>средномесечни</w:t>
      </w:r>
      <w:proofErr w:type="spellEnd"/>
      <w:r w:rsidR="00951642">
        <w:rPr>
          <w:rFonts w:ascii="Verdana" w:hAnsi="Verdana"/>
          <w:lang w:val="bg-BG"/>
        </w:rPr>
        <w:t xml:space="preserve"> тем</w:t>
      </w:r>
      <w:r w:rsidR="005065E3">
        <w:rPr>
          <w:rFonts w:ascii="Verdana" w:hAnsi="Verdana"/>
          <w:lang w:val="bg-BG"/>
        </w:rPr>
        <w:t>ператури</w:t>
      </w:r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</w:t>
      </w:r>
      <w:proofErr w:type="gramStart"/>
      <w:r w:rsidRPr="006257C9">
        <w:rPr>
          <w:rFonts w:ascii="Verdana" w:hAnsi="Verdana"/>
        </w:rPr>
        <w:t>,бр.45</w:t>
      </w:r>
      <w:proofErr w:type="gramEnd"/>
      <w:r w:rsidRPr="006257C9">
        <w:rPr>
          <w:rFonts w:ascii="Verdana" w:hAnsi="Verdana"/>
        </w:rPr>
        <w:t>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3B4B01" w:rsidRPr="006257C9" w:rsidRDefault="0025478A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201</w:t>
      </w:r>
      <w:r w:rsidR="00D30E2A">
        <w:rPr>
          <w:rFonts w:ascii="Verdana" w:hAnsi="Verdana"/>
        </w:rPr>
        <w:t>7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 от 35 бр. за календарна година и</w:t>
      </w:r>
      <w:r w:rsidR="003B4B01" w:rsidRPr="006257C9">
        <w:rPr>
          <w:rFonts w:ascii="Verdana" w:hAnsi="Verdana"/>
          <w:lang w:val="bg-BG"/>
        </w:rPr>
        <w:t xml:space="preserve"> е, както следва:</w:t>
      </w:r>
    </w:p>
    <w:p w:rsidR="003B4B01" w:rsidRPr="006257C9" w:rsidRDefault="007D7B3D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85 </w:t>
      </w:r>
      <w:r w:rsidR="00FA1338" w:rsidRPr="006257C9">
        <w:rPr>
          <w:rFonts w:ascii="Verdana" w:hAnsi="Verdana"/>
          <w:lang w:val="bg-BG"/>
        </w:rPr>
        <w:t>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7D7B3D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107</w:t>
      </w:r>
      <w:r w:rsidR="00FA1338" w:rsidRPr="006257C9">
        <w:rPr>
          <w:rFonts w:ascii="Verdana" w:hAnsi="Verdana"/>
          <w:lang w:val="bg-BG"/>
        </w:rPr>
        <w:t xml:space="preserve"> бр. </w:t>
      </w:r>
      <w:r w:rsidR="00951642">
        <w:rPr>
          <w:rFonts w:ascii="Verdana" w:hAnsi="Verdana"/>
          <w:lang w:val="bg-BG"/>
        </w:rPr>
        <w:t>р</w:t>
      </w:r>
      <w:r w:rsidR="00FA1338" w:rsidRPr="006257C9">
        <w:rPr>
          <w:rFonts w:ascii="Verdana" w:hAnsi="Verdana"/>
          <w:lang w:val="bg-BG"/>
        </w:rPr>
        <w:t xml:space="preserve">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9176C1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11</w:t>
      </w:r>
      <w:r w:rsidR="007D7B3D">
        <w:rPr>
          <w:rFonts w:ascii="Verdana" w:hAnsi="Verdana"/>
          <w:lang w:val="bg-BG"/>
        </w:rPr>
        <w:t>9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9176C1" w:rsidRDefault="009176C1" w:rsidP="006257C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Измерените средногодишни стойности в двата фонови пункта – АИС „Каменица“ и ПМ „Д.Воден“ са близки до 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9176C1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7D7B3D">
        <w:rPr>
          <w:rFonts w:ascii="Verdana" w:hAnsi="Verdana"/>
          <w:lang w:val="bg-BG"/>
        </w:rPr>
        <w:t>4</w:t>
      </w:r>
      <w:r>
        <w:rPr>
          <w:rFonts w:ascii="Verdana" w:hAnsi="Verdana"/>
          <w:lang w:val="bg-BG"/>
        </w:rPr>
        <w:t>,8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 xml:space="preserve"> в АИС „Каменица“;</w:t>
      </w:r>
    </w:p>
    <w:p w:rsidR="009176C1" w:rsidRPr="009176C1" w:rsidRDefault="009176C1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7D7B3D">
        <w:rPr>
          <w:rFonts w:ascii="Verdana" w:hAnsi="Verdana"/>
          <w:lang w:val="bg-BG"/>
        </w:rPr>
        <w:t>5</w:t>
      </w:r>
      <w:r>
        <w:rPr>
          <w:rFonts w:ascii="Verdana" w:hAnsi="Verdana"/>
          <w:lang w:val="bg-BG"/>
        </w:rPr>
        <w:t>,</w:t>
      </w:r>
      <w:r w:rsidR="007D7B3D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 xml:space="preserve"> в ПМ „Долни Воден“</w:t>
      </w:r>
      <w:r w:rsidR="007D7B3D">
        <w:rPr>
          <w:rFonts w:ascii="Verdana" w:hAnsi="Verdana"/>
          <w:lang w:val="bg-BG"/>
        </w:rPr>
        <w:t>.</w:t>
      </w:r>
      <w:r>
        <w:rPr>
          <w:rFonts w:ascii="Verdana" w:hAnsi="Verdana"/>
          <w:lang w:val="bg-BG"/>
        </w:rPr>
        <w:t xml:space="preserve">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Pr="006257C9" w:rsidRDefault="003C16DC" w:rsidP="00A250E2">
      <w:pPr>
        <w:jc w:val="both"/>
        <w:rPr>
          <w:rFonts w:ascii="Verdana" w:hAnsi="Verdana"/>
          <w:lang w:val="bg-BG"/>
        </w:rPr>
      </w:pPr>
      <w:bookmarkStart w:id="35" w:name="_GoBack"/>
      <w:bookmarkEnd w:id="35"/>
    </w:p>
    <w:sectPr w:rsidR="003C16DC" w:rsidRPr="006257C9" w:rsidSect="00D41712">
      <w:footerReference w:type="even" r:id="rId18"/>
      <w:footerReference w:type="default" r:id="rId19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1495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1495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870EF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E3865"/>
    <w:rsid w:val="000F1B4D"/>
    <w:rsid w:val="000F44D6"/>
    <w:rsid w:val="00100209"/>
    <w:rsid w:val="0010114A"/>
    <w:rsid w:val="001063A6"/>
    <w:rsid w:val="001074DF"/>
    <w:rsid w:val="001211BC"/>
    <w:rsid w:val="00124B34"/>
    <w:rsid w:val="00127888"/>
    <w:rsid w:val="00134CF1"/>
    <w:rsid w:val="00141C79"/>
    <w:rsid w:val="00142185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52FE"/>
    <w:rsid w:val="007B5E1E"/>
    <w:rsid w:val="007B6EF6"/>
    <w:rsid w:val="007B7188"/>
    <w:rsid w:val="007C2FFC"/>
    <w:rsid w:val="007C5ABB"/>
    <w:rsid w:val="007D0917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829"/>
    <w:rsid w:val="009343D2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944AC"/>
    <w:rsid w:val="009A032E"/>
    <w:rsid w:val="009A728F"/>
    <w:rsid w:val="009B0D9C"/>
    <w:rsid w:val="009C56F1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72E9"/>
    <w:rsid w:val="00C34000"/>
    <w:rsid w:val="00C41495"/>
    <w:rsid w:val="00C441AB"/>
    <w:rsid w:val="00C50955"/>
    <w:rsid w:val="00C5249F"/>
    <w:rsid w:val="00C52E80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52746"/>
    <w:rsid w:val="00E555F4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7D8F"/>
    <w:rsid w:val="00F5364A"/>
    <w:rsid w:val="00F5537E"/>
    <w:rsid w:val="00F56912"/>
    <w:rsid w:val="00F5734D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6\&#1050;&#1086;&#1087;&#1080;&#1077;%20&#1085;&#1072;%20PM10_2016_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28.6</c:v>
                </c:pt>
                <c:pt idx="1">
                  <c:v>55.4</c:v>
                </c:pt>
                <c:pt idx="2">
                  <c:v>61.2</c:v>
                </c:pt>
                <c:pt idx="3">
                  <c:v>65.099999999999994</c:v>
                </c:pt>
                <c:pt idx="4">
                  <c:v>60.5</c:v>
                </c:pt>
                <c:pt idx="5">
                  <c:v>55.9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31.6</c:v>
                </c:pt>
                <c:pt idx="1">
                  <c:v>50.6</c:v>
                </c:pt>
                <c:pt idx="2">
                  <c:v>54.5</c:v>
                </c:pt>
                <c:pt idx="3">
                  <c:v>63.4</c:v>
                </c:pt>
                <c:pt idx="4">
                  <c:v>44.6</c:v>
                </c:pt>
                <c:pt idx="5">
                  <c:v>42.4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28.03</c:v>
                </c:pt>
                <c:pt idx="1">
                  <c:v>49.71</c:v>
                </c:pt>
                <c:pt idx="2">
                  <c:v>59.56</c:v>
                </c:pt>
                <c:pt idx="3">
                  <c:v>71.48</c:v>
                </c:pt>
                <c:pt idx="4">
                  <c:v>49.47</c:v>
                </c:pt>
                <c:pt idx="5">
                  <c:v>36.21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43.3</c:v>
                </c:pt>
                <c:pt idx="1">
                  <c:v>65.900000000000006</c:v>
                </c:pt>
                <c:pt idx="2">
                  <c:v>65.3</c:v>
                </c:pt>
                <c:pt idx="3">
                  <c:v>70</c:v>
                </c:pt>
                <c:pt idx="4">
                  <c:v>55.5</c:v>
                </c:pt>
                <c:pt idx="5">
                  <c:v>54.9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351232"/>
        <c:axId val="146353152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351232"/>
        <c:axId val="146353152"/>
      </c:lineChart>
      <c:catAx>
        <c:axId val="146351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46353152"/>
        <c:crosses val="autoZero"/>
        <c:auto val="1"/>
        <c:lblAlgn val="ctr"/>
        <c:lblOffset val="100"/>
        <c:noMultiLvlLbl val="0"/>
      </c:catAx>
      <c:valAx>
        <c:axId val="14635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51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19</c:v>
                </c:pt>
                <c:pt idx="2">
                  <c:v>17</c:v>
                </c:pt>
                <c:pt idx="3">
                  <c:v>18</c:v>
                </c:pt>
                <c:pt idx="4">
                  <c:v>12</c:v>
                </c:pt>
                <c:pt idx="5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16</c:v>
                </c:pt>
                <c:pt idx="2">
                  <c:v>12</c:v>
                </c:pt>
                <c:pt idx="3">
                  <c:v>17</c:v>
                </c:pt>
                <c:pt idx="4">
                  <c:v>11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16</c:v>
                </c:pt>
                <c:pt idx="2">
                  <c:v>17</c:v>
                </c:pt>
                <c:pt idx="3">
                  <c:v>17</c:v>
                </c:pt>
                <c:pt idx="4">
                  <c:v>9</c:v>
                </c:pt>
                <c:pt idx="5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октември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14</c:v>
                </c:pt>
                <c:pt idx="1">
                  <c:v>18</c:v>
                </c:pt>
                <c:pt idx="2">
                  <c:v>12</c:v>
                </c:pt>
                <c:pt idx="3">
                  <c:v>18</c:v>
                </c:pt>
                <c:pt idx="4">
                  <c:v>12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716736"/>
        <c:axId val="149467520"/>
      </c:barChart>
      <c:catAx>
        <c:axId val="14771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9467520"/>
        <c:crosses val="autoZero"/>
        <c:auto val="1"/>
        <c:lblAlgn val="ctr"/>
        <c:lblOffset val="100"/>
        <c:noMultiLvlLbl val="0"/>
      </c:catAx>
      <c:valAx>
        <c:axId val="14946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716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14.9</c:v>
                </c:pt>
                <c:pt idx="1">
                  <c:v>32.700000000000003</c:v>
                </c:pt>
                <c:pt idx="2">
                  <c:v>34.1</c:v>
                </c:pt>
                <c:pt idx="3">
                  <c:v>33.9</c:v>
                </c:pt>
                <c:pt idx="4">
                  <c:v>26.8</c:v>
                </c:pt>
                <c:pt idx="5">
                  <c:v>23.8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614656"/>
        <c:axId val="116616192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6614656"/>
        <c:axId val="116616192"/>
      </c:lineChart>
      <c:catAx>
        <c:axId val="116614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616192"/>
        <c:crosses val="autoZero"/>
        <c:auto val="1"/>
        <c:lblAlgn val="ctr"/>
        <c:lblOffset val="100"/>
        <c:noMultiLvlLbl val="0"/>
      </c:catAx>
      <c:valAx>
        <c:axId val="11661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614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28.6</c:v>
                </c:pt>
                <c:pt idx="1">
                  <c:v>55.4</c:v>
                </c:pt>
                <c:pt idx="2">
                  <c:v>61.2</c:v>
                </c:pt>
                <c:pt idx="3">
                  <c:v>65.099999999999994</c:v>
                </c:pt>
                <c:pt idx="4">
                  <c:v>60.5</c:v>
                </c:pt>
                <c:pt idx="5">
                  <c:v>52.1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31.6</c:v>
                </c:pt>
                <c:pt idx="1">
                  <c:v>50.6</c:v>
                </c:pt>
                <c:pt idx="2">
                  <c:v>54.5</c:v>
                </c:pt>
                <c:pt idx="3">
                  <c:v>63.4</c:v>
                </c:pt>
                <c:pt idx="4">
                  <c:v>44.6</c:v>
                </c:pt>
                <c:pt idx="5">
                  <c:v>39.200000000000003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28.03</c:v>
                </c:pt>
                <c:pt idx="1">
                  <c:v>49.71</c:v>
                </c:pt>
                <c:pt idx="2">
                  <c:v>59.56</c:v>
                </c:pt>
                <c:pt idx="3">
                  <c:v>71.48</c:v>
                </c:pt>
                <c:pt idx="4">
                  <c:v>49.47</c:v>
                </c:pt>
                <c:pt idx="5">
                  <c:v>44.51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43.3</c:v>
                </c:pt>
                <c:pt idx="1">
                  <c:v>65.900000000000006</c:v>
                </c:pt>
                <c:pt idx="2">
                  <c:v>65</c:v>
                </c:pt>
                <c:pt idx="3">
                  <c:v>71</c:v>
                </c:pt>
                <c:pt idx="4">
                  <c:v>55</c:v>
                </c:pt>
                <c:pt idx="5">
                  <c:v>53.1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0310144"/>
        <c:axId val="13031168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13600"/>
        <c:axId val="130315392"/>
      </c:lineChart>
      <c:catAx>
        <c:axId val="13031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31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11680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310144"/>
        <c:crosses val="autoZero"/>
        <c:crossBetween val="between"/>
        <c:majorUnit val="20"/>
      </c:valAx>
      <c:catAx>
        <c:axId val="130313600"/>
        <c:scaling>
          <c:orientation val="minMax"/>
        </c:scaling>
        <c:delete val="1"/>
        <c:axPos val="b"/>
        <c:majorTickMark val="out"/>
        <c:minorTickMark val="none"/>
        <c:tickLblPos val="nextTo"/>
        <c:crossAx val="130315392"/>
        <c:crosses val="autoZero"/>
        <c:auto val="1"/>
        <c:lblAlgn val="ctr"/>
        <c:lblOffset val="100"/>
        <c:noMultiLvlLbl val="0"/>
      </c:catAx>
      <c:valAx>
        <c:axId val="130315392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313600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46.7</c:v>
                </c:pt>
                <c:pt idx="1">
                  <c:v>88.3</c:v>
                </c:pt>
                <c:pt idx="2">
                  <c:v>128</c:v>
                </c:pt>
                <c:pt idx="3">
                  <c:v>134.4</c:v>
                </c:pt>
                <c:pt idx="4">
                  <c:v>143</c:v>
                </c:pt>
                <c:pt idx="5">
                  <c:v>85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62</c:v>
                </c:pt>
                <c:pt idx="1">
                  <c:v>103.2</c:v>
                </c:pt>
                <c:pt idx="2">
                  <c:v>151.5</c:v>
                </c:pt>
                <c:pt idx="3">
                  <c:v>156.4</c:v>
                </c:pt>
                <c:pt idx="4">
                  <c:v>101.4</c:v>
                </c:pt>
                <c:pt idx="5">
                  <c:v>75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59</c:v>
                </c:pt>
                <c:pt idx="1">
                  <c:v>88</c:v>
                </c:pt>
                <c:pt idx="2">
                  <c:v>134</c:v>
                </c:pt>
                <c:pt idx="3">
                  <c:v>142</c:v>
                </c:pt>
                <c:pt idx="4">
                  <c:v>110</c:v>
                </c:pt>
                <c:pt idx="5">
                  <c:v>65.56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88</c:v>
                </c:pt>
                <c:pt idx="1">
                  <c:v>134</c:v>
                </c:pt>
                <c:pt idx="2">
                  <c:v>201</c:v>
                </c:pt>
                <c:pt idx="3">
                  <c:v>194</c:v>
                </c:pt>
                <c:pt idx="4">
                  <c:v>125</c:v>
                </c:pt>
                <c:pt idx="5">
                  <c:v>106.13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30332544"/>
        <c:axId val="13033408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14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36256"/>
        <c:axId val="130337792"/>
      </c:lineChart>
      <c:catAx>
        <c:axId val="13033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3340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033408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30332544"/>
        <c:crosses val="autoZero"/>
        <c:crossBetween val="between"/>
        <c:majorUnit val="20"/>
      </c:valAx>
      <c:catAx>
        <c:axId val="130336256"/>
        <c:scaling>
          <c:orientation val="minMax"/>
        </c:scaling>
        <c:delete val="1"/>
        <c:axPos val="b"/>
        <c:majorTickMark val="out"/>
        <c:minorTickMark val="none"/>
        <c:tickLblPos val="nextTo"/>
        <c:crossAx val="130337792"/>
        <c:crossesAt val="-2"/>
        <c:auto val="1"/>
        <c:lblAlgn val="ctr"/>
        <c:lblOffset val="100"/>
        <c:noMultiLvlLbl val="0"/>
      </c:catAx>
      <c:valAx>
        <c:axId val="130337792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3033625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0D76-6894-4FE0-9D86-15639596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11</Pages>
  <Words>2643</Words>
  <Characters>16089</Characters>
  <Application>Microsoft Office Word</Application>
  <DocSecurity>0</DocSecurity>
  <Lines>134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Nazile Skender</cp:lastModifiedBy>
  <cp:revision>3</cp:revision>
  <cp:lastPrinted>2018-04-26T12:49:00Z</cp:lastPrinted>
  <dcterms:created xsi:type="dcterms:W3CDTF">2016-04-26T10:43:00Z</dcterms:created>
  <dcterms:modified xsi:type="dcterms:W3CDTF">2018-05-02T08:00:00Z</dcterms:modified>
</cp:coreProperties>
</file>